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outlineLvl w:val="0"/>
        <w:rPr>
          <w:rFonts w:ascii="Times New Roman" w:eastAsia="楷体" w:cs="Times New Roman"/>
          <w:b/>
          <w:bCs/>
          <w:spacing w:val="40"/>
          <w:sz w:val="96"/>
          <w:szCs w:val="96"/>
        </w:rPr>
      </w:pPr>
      <w:r>
        <w:rPr>
          <w:rFonts w:ascii="Times New Roman" w:eastAsia="楷体" w:cs="Times New Roman"/>
          <w:b/>
          <w:bCs/>
          <w:spacing w:val="40"/>
          <w:sz w:val="96"/>
          <w:szCs w:val="96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9525</wp:posOffset>
            </wp:positionV>
            <wp:extent cx="847725" cy="847725"/>
            <wp:effectExtent l="19050" t="0" r="9525" b="0"/>
            <wp:wrapNone/>
            <wp:docPr id="3" name="图片 3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维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楷体" w:cs="Times New Roman"/>
          <w:b/>
          <w:bCs/>
          <w:spacing w:val="40"/>
          <w:sz w:val="96"/>
          <w:szCs w:val="96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1191895" cy="895350"/>
            <wp:effectExtent l="0" t="0" r="8255" b="0"/>
            <wp:wrapNone/>
            <wp:docPr id="2" name="图片 2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eastAsia="楷体" w:cs="Times New Roman"/>
          <w:b/>
          <w:bCs/>
          <w:spacing w:val="40"/>
          <w:sz w:val="96"/>
          <w:szCs w:val="96"/>
        </w:rPr>
        <w:t xml:space="preserve"> </w:t>
      </w:r>
    </w:p>
    <w:p>
      <w:pPr>
        <w:jc w:val="center"/>
        <w:outlineLvl w:val="0"/>
        <w:rPr>
          <w:rFonts w:ascii="Times New Roman" w:eastAsia="楷体" w:cs="Times New Roman"/>
          <w:b/>
          <w:bCs/>
          <w:spacing w:val="40"/>
          <w:szCs w:val="21"/>
        </w:rPr>
      </w:pPr>
    </w:p>
    <w:p>
      <w:pPr>
        <w:jc w:val="center"/>
        <w:outlineLvl w:val="0"/>
        <w:rPr>
          <w:rFonts w:ascii="Times New Roman" w:eastAsia="楷体" w:cs="Times New Roman"/>
          <w:b/>
          <w:bCs/>
          <w:spacing w:val="40"/>
          <w:szCs w:val="21"/>
        </w:rPr>
      </w:pPr>
    </w:p>
    <w:p>
      <w:pPr>
        <w:jc w:val="center"/>
        <w:outlineLvl w:val="0"/>
        <w:rPr>
          <w:rFonts w:ascii="Times New Roman" w:eastAsia="楷体" w:cs="Times New Roman"/>
          <w:b/>
          <w:bCs/>
          <w:spacing w:val="40"/>
          <w:szCs w:val="21"/>
        </w:rPr>
      </w:pPr>
    </w:p>
    <w:p>
      <w:pPr>
        <w:jc w:val="center"/>
        <w:outlineLvl w:val="0"/>
        <w:rPr>
          <w:rFonts w:ascii="Times New Roman" w:hAnsi="Times New Roman" w:eastAsia="楷体" w:cs="Times New Roman"/>
          <w:b/>
          <w:bCs/>
          <w:spacing w:val="40"/>
          <w:sz w:val="96"/>
          <w:szCs w:val="96"/>
        </w:rPr>
      </w:pPr>
      <w:r>
        <w:rPr>
          <w:rFonts w:ascii="Times New Roman" w:eastAsia="楷体" w:cs="Times New Roman"/>
          <w:b/>
          <w:bCs/>
          <w:spacing w:val="40"/>
          <w:sz w:val="96"/>
          <w:szCs w:val="96"/>
        </w:rPr>
        <w:t>检测报告</w:t>
      </w:r>
    </w:p>
    <w:p>
      <w:pPr>
        <w:spacing w:line="240" w:lineRule="exact"/>
        <w:jc w:val="center"/>
        <w:outlineLvl w:val="0"/>
        <w:rPr>
          <w:rFonts w:ascii="Times New Roman" w:hAnsi="Times New Roman" w:eastAsia="楷体" w:cs="Times New Roman"/>
          <w:b/>
          <w:bCs/>
          <w:sz w:val="96"/>
        </w:rPr>
      </w:pPr>
    </w:p>
    <w:p>
      <w:pPr>
        <w:jc w:val="center"/>
        <w:rPr>
          <w:rFonts w:ascii="Times New Roman" w:hAnsi="Times New Roman" w:eastAsia="楷体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eastAsia="楷体" w:cs="Times New Roman"/>
          <w:b/>
          <w:bCs/>
          <w:i/>
          <w:iCs/>
          <w:sz w:val="44"/>
          <w:szCs w:val="44"/>
        </w:rPr>
        <w:t>Test  Report</w:t>
      </w:r>
    </w:p>
    <w:p>
      <w:pPr>
        <w:jc w:val="center"/>
        <w:rPr>
          <w:rFonts w:ascii="Times New Roman" w:hAnsi="Times New Roman" w:eastAsia="楷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楷体" w:cs="Times New Roman"/>
          <w:sz w:val="32"/>
          <w:szCs w:val="32"/>
        </w:rPr>
        <w:t>ZH</w:t>
      </w:r>
      <w:r>
        <w:rPr>
          <w:rFonts w:hint="eastAsia" w:ascii="Times New Roman" w:hAnsi="Times New Roman" w:eastAsia="楷体" w:cs="Times New Roman"/>
          <w:sz w:val="32"/>
          <w:szCs w:val="32"/>
        </w:rPr>
        <w:t>20</w:t>
      </w:r>
      <w:r>
        <w:rPr>
          <w:rFonts w:ascii="Times New Roman" w:hAnsi="Times New Roman" w:eastAsia="楷体" w:cs="Times New Roman"/>
          <w:sz w:val="32"/>
          <w:szCs w:val="32"/>
        </w:rPr>
        <w:t>-</w:t>
      </w:r>
      <w:r>
        <w:rPr>
          <w:rFonts w:hint="eastAsia" w:ascii="Times New Roman" w:hAnsi="Times New Roman" w:eastAsia="楷体" w:cs="Times New Roman"/>
          <w:sz w:val="32"/>
          <w:szCs w:val="32"/>
        </w:rPr>
        <w:t>HBJC</w:t>
      </w:r>
      <w:r>
        <w:rPr>
          <w:rFonts w:ascii="Times New Roman" w:hAnsi="Times New Roman" w:eastAsia="楷体" w:cs="Times New Roman"/>
          <w:sz w:val="32"/>
          <w:szCs w:val="32"/>
        </w:rPr>
        <w:t>-</w:t>
      </w:r>
      <w:r>
        <w:rPr>
          <w:rFonts w:hint="eastAsia" w:ascii="Times New Roman" w:hAnsi="Times New Roman" w:eastAsia="楷体" w:cs="Times New Roman"/>
          <w:sz w:val="32"/>
          <w:szCs w:val="32"/>
        </w:rPr>
        <w:t>5</w:t>
      </w:r>
      <w:r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  <w:t>58</w:t>
      </w: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spacing w:line="240" w:lineRule="atLeast"/>
        <w:ind w:left="1280" w:hanging="1280" w:hangingChars="400"/>
        <w:rPr>
          <w:rFonts w:ascii="Times New Roman" w:hAnsi="Times New Roman" w:eastAsia="楷体" w:cs="Times New Roman"/>
          <w:sz w:val="32"/>
          <w:szCs w:val="32"/>
          <w:u w:val="single"/>
        </w:rPr>
      </w:pPr>
      <w:r>
        <w:rPr>
          <w:rFonts w:ascii="Times New Roman" w:eastAsia="楷体" w:cs="Times New Roman"/>
          <w:sz w:val="32"/>
          <w:szCs w:val="32"/>
        </w:rPr>
        <w:t>项目名称</w:t>
      </w:r>
      <w:r>
        <w:rPr>
          <w:rFonts w:hint="eastAsia" w:ascii="Times New Roman" w:eastAsia="楷体" w:cs="Times New Roman"/>
          <w:sz w:val="32"/>
          <w:szCs w:val="32"/>
          <w:u w:val="single"/>
        </w:rPr>
        <w:t xml:space="preserve">          地块土壤及地下水自行检测                        </w:t>
      </w:r>
    </w:p>
    <w:p>
      <w:pPr>
        <w:spacing w:line="240" w:lineRule="atLeast"/>
        <w:ind w:left="750" w:hanging="750" w:hangingChars="500"/>
        <w:rPr>
          <w:rFonts w:ascii="Times New Roman" w:hAnsi="Times New Roman" w:eastAsia="楷体" w:cs="Times New Roman"/>
          <w:sz w:val="15"/>
          <w:szCs w:val="15"/>
        </w:rPr>
      </w:pPr>
    </w:p>
    <w:p>
      <w:pPr>
        <w:spacing w:line="240" w:lineRule="atLeast"/>
        <w:ind w:left="1600" w:hanging="1600" w:hangingChars="500"/>
        <w:rPr>
          <w:rFonts w:ascii="Times New Roman" w:hAnsi="Times New Roman" w:eastAsia="楷体" w:cs="Times New Roman"/>
          <w:szCs w:val="21"/>
          <w:u w:val="single"/>
        </w:rPr>
      </w:pPr>
      <w:r>
        <w:rPr>
          <w:rFonts w:ascii="Times New Roman" w:eastAsia="楷体" w:cs="Times New Roman"/>
          <w:sz w:val="32"/>
          <w:szCs w:val="32"/>
        </w:rPr>
        <w:t>委托单位</w:t>
      </w:r>
      <w:r>
        <w:rPr>
          <w:rFonts w:hint="eastAsia" w:ascii="Times New Roman" w:hAnsi="Times New Roman" w:eastAsia="楷体" w:cs="Times New Roman"/>
          <w:sz w:val="32"/>
          <w:szCs w:val="32"/>
          <w:u w:val="single"/>
        </w:rPr>
        <w:t xml:space="preserve">         </w:t>
      </w:r>
      <w:r>
        <w:rPr>
          <w:rFonts w:hint="eastAsia" w:ascii="Times New Roman" w:hAnsi="Times New Roman" w:eastAsia="楷体" w:cs="Times New Roman"/>
          <w:sz w:val="32"/>
          <w:szCs w:val="32"/>
          <w:u w:val="single"/>
          <w:lang w:val="en-US" w:eastAsia="zh-CN"/>
        </w:rPr>
        <w:t xml:space="preserve">  浙江永立钢业有限公司</w:t>
      </w:r>
      <w:r>
        <w:rPr>
          <w:rFonts w:hint="eastAsia" w:ascii="Times New Roman" w:eastAsia="楷体" w:cs="Times New Roman"/>
          <w:sz w:val="32"/>
          <w:szCs w:val="32"/>
          <w:u w:val="single"/>
        </w:rPr>
        <w:t xml:space="preserve">            </w:t>
      </w:r>
    </w:p>
    <w:p>
      <w:pPr>
        <w:ind w:left="1800" w:hanging="1800" w:hangingChars="500"/>
        <w:rPr>
          <w:rFonts w:ascii="Times New Roman" w:hAnsi="Times New Roman" w:eastAsia="楷体" w:cs="Times New Roman"/>
          <w:sz w:val="36"/>
        </w:rPr>
      </w:pPr>
    </w:p>
    <w:p>
      <w:pPr>
        <w:ind w:left="1800" w:hanging="1800" w:hangingChars="500"/>
        <w:rPr>
          <w:rFonts w:ascii="Times New Roman" w:hAnsi="Times New Roman" w:eastAsia="楷体" w:cs="Times New Roman"/>
          <w:sz w:val="36"/>
        </w:rPr>
      </w:pPr>
    </w:p>
    <w:p>
      <w:pPr>
        <w:jc w:val="center"/>
        <w:rPr>
          <w:rFonts w:ascii="Times New Roman" w:hAnsi="Times New Roman" w:eastAsia="楷体" w:cs="Times New Roman"/>
          <w:sz w:val="36"/>
        </w:rPr>
      </w:pPr>
    </w:p>
    <w:p>
      <w:pPr>
        <w:rPr>
          <w:rFonts w:ascii="Times New Roman" w:hAnsi="Times New Roman" w:eastAsia="楷体" w:cs="Times New Roman"/>
          <w:sz w:val="36"/>
        </w:rPr>
      </w:pPr>
    </w:p>
    <w:p>
      <w:pPr>
        <w:rPr>
          <w:rFonts w:ascii="Times New Roman" w:hAnsi="Times New Roman" w:eastAsia="楷体" w:cs="Times New Roman"/>
          <w:sz w:val="36"/>
        </w:rPr>
      </w:pPr>
    </w:p>
    <w:p>
      <w:pPr>
        <w:pStyle w:val="10"/>
        <w:jc w:val="center"/>
        <w:rPr>
          <w:rFonts w:ascii="Times New Roman" w:hAnsi="Times New Roman" w:eastAsia="楷体" w:cs="Times New Roman"/>
          <w:color w:val="auto"/>
          <w:spacing w:val="100"/>
          <w:sz w:val="36"/>
          <w:szCs w:val="32"/>
        </w:rPr>
      </w:pPr>
      <w:r>
        <w:rPr>
          <w:rFonts w:ascii="Times New Roman" w:hAnsi="楷体" w:eastAsia="楷体" w:cs="Times New Roman"/>
          <w:color w:val="auto"/>
          <w:spacing w:val="100"/>
          <w:sz w:val="36"/>
          <w:szCs w:val="32"/>
        </w:rPr>
        <w:t>浙江浙海环保科技有限公司</w:t>
      </w:r>
    </w:p>
    <w:p>
      <w:pPr>
        <w:jc w:val="center"/>
        <w:rPr>
          <w:rFonts w:ascii="Times New Roman" w:hAnsi="Times New Roman" w:eastAsia="楷体" w:cs="Times New Roman"/>
          <w:i/>
          <w:iCs/>
          <w:sz w:val="20"/>
        </w:rPr>
      </w:pPr>
      <w:r>
        <w:rPr>
          <w:rFonts w:ascii="Times New Roman" w:hAnsi="Times New Roman" w:eastAsia="楷体" w:cs="Times New Roman"/>
          <w:i/>
          <w:iCs/>
          <w:sz w:val="28"/>
          <w:szCs w:val="32"/>
        </w:rPr>
        <w:t>ZheJiang ZheHai Environmental Technology&amp; Engineering Co. Ltd</w:t>
      </w:r>
    </w:p>
    <w:p>
      <w:pPr>
        <w:jc w:val="center"/>
        <w:rPr>
          <w:rFonts w:ascii="Times New Roman" w:eastAsia="楷体" w:cs="Times New Roman"/>
          <w:sz w:val="52"/>
        </w:rPr>
      </w:pPr>
    </w:p>
    <w:p>
      <w:pPr>
        <w:jc w:val="center"/>
        <w:rPr>
          <w:rFonts w:ascii="Times New Roman" w:hAnsi="Times New Roman" w:eastAsia="楷体" w:cs="Times New Roman"/>
          <w:sz w:val="52"/>
        </w:rPr>
      </w:pPr>
      <w:r>
        <w:rPr>
          <w:rFonts w:ascii="Times New Roman" w:eastAsia="楷体" w:cs="Times New Roman"/>
          <w:sz w:val="52"/>
        </w:rPr>
        <w:t>说明</w:t>
      </w:r>
    </w:p>
    <w:p>
      <w:pPr>
        <w:tabs>
          <w:tab w:val="left" w:pos="6660"/>
        </w:tabs>
        <w:rPr>
          <w:rFonts w:ascii="Times New Roman" w:hAnsi="Times New Roman" w:eastAsia="楷体" w:cs="Times New Roman"/>
          <w:sz w:val="44"/>
        </w:rPr>
      </w:pPr>
    </w:p>
    <w:p>
      <w:pPr>
        <w:pStyle w:val="2"/>
        <w:ind w:firstLine="640"/>
        <w:rPr>
          <w:rFonts w:ascii="Times New Roman" w:eastAsia="楷体"/>
          <w:sz w:val="32"/>
        </w:rPr>
      </w:pPr>
      <w:r>
        <w:rPr>
          <w:rFonts w:ascii="Times New Roman" w:eastAsia="楷体"/>
          <w:sz w:val="32"/>
        </w:rPr>
        <w:t>一、本报告无</w:t>
      </w:r>
      <w:r>
        <w:rPr>
          <w:rFonts w:hint="eastAsia" w:ascii="Times New Roman" w:eastAsia="楷体"/>
          <w:sz w:val="32"/>
        </w:rPr>
        <w:t>签发</w:t>
      </w:r>
      <w:r>
        <w:rPr>
          <w:rFonts w:ascii="Times New Roman" w:eastAsia="楷体"/>
          <w:sz w:val="32"/>
        </w:rPr>
        <w:t>人签名，或涂改，或未加盖本公司检测报告专用章及骑缝章均无效；</w:t>
      </w: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二、本报告部分复制，或完整复制后未加盖本公司检测报告专用章均无效；</w:t>
      </w: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三、未经同意本报告不得用于广告宣传；</w:t>
      </w:r>
    </w:p>
    <w:p>
      <w:pPr>
        <w:ind w:firstLine="640" w:firstLineChars="200"/>
        <w:rPr>
          <w:rFonts w:asci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四、</w:t>
      </w:r>
      <w:r>
        <w:rPr>
          <w:rFonts w:hint="eastAsia" w:ascii="Times New Roman" w:eastAsia="楷体" w:cs="Times New Roman"/>
          <w:sz w:val="32"/>
        </w:rPr>
        <w:t>委托现场检测，本报告仅对本次样品负责；</w:t>
      </w: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五、委托方若对本报告有异议，请于收到报告之日起十五个工作日内向本公司提出。</w:t>
      </w:r>
    </w:p>
    <w:p>
      <w:pPr>
        <w:ind w:firstLine="640" w:firstLineChars="200"/>
        <w:rPr>
          <w:rFonts w:eastAsia="楷体"/>
          <w:sz w:val="32"/>
        </w:rPr>
      </w:pPr>
    </w:p>
    <w:p>
      <w:pPr>
        <w:ind w:firstLine="880" w:firstLineChars="200"/>
        <w:rPr>
          <w:rFonts w:eastAsia="楷体"/>
          <w:sz w:val="44"/>
        </w:rPr>
      </w:pPr>
    </w:p>
    <w:p>
      <w:pPr>
        <w:spacing w:line="240" w:lineRule="exact"/>
        <w:ind w:firstLine="880" w:firstLineChars="200"/>
        <w:rPr>
          <w:rFonts w:eastAsia="楷体"/>
          <w:sz w:val="44"/>
        </w:rPr>
      </w:pPr>
    </w:p>
    <w:p>
      <w:pPr>
        <w:spacing w:line="240" w:lineRule="exact"/>
        <w:ind w:firstLine="880" w:firstLineChars="200"/>
        <w:rPr>
          <w:rFonts w:eastAsia="楷体"/>
          <w:sz w:val="44"/>
        </w:rPr>
      </w:pPr>
    </w:p>
    <w:p>
      <w:pPr>
        <w:spacing w:line="240" w:lineRule="exact"/>
        <w:ind w:firstLine="880" w:firstLineChars="200"/>
        <w:rPr>
          <w:rFonts w:eastAsia="楷体"/>
          <w:sz w:val="44"/>
        </w:rPr>
      </w:pPr>
    </w:p>
    <w:p>
      <w:pPr>
        <w:spacing w:line="240" w:lineRule="exact"/>
        <w:ind w:firstLine="880" w:firstLineChars="200"/>
        <w:rPr>
          <w:rFonts w:eastAsia="楷体"/>
          <w:sz w:val="44"/>
        </w:rPr>
      </w:pPr>
    </w:p>
    <w:p>
      <w:pPr>
        <w:spacing w:line="240" w:lineRule="exact"/>
        <w:rPr>
          <w:rFonts w:eastAsia="楷体"/>
          <w:sz w:val="44"/>
        </w:rPr>
      </w:pPr>
    </w:p>
    <w:p>
      <w:pPr>
        <w:spacing w:line="240" w:lineRule="exact"/>
        <w:rPr>
          <w:rFonts w:eastAsia="楷体"/>
          <w:sz w:val="44"/>
        </w:rPr>
      </w:pP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浙江浙海环保科技有限公司</w:t>
      </w: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地址：临海市杜桥镇杜南大道医化园区</w:t>
      </w: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邮编：</w:t>
      </w:r>
      <w:r>
        <w:rPr>
          <w:rFonts w:ascii="Times New Roman" w:hAnsi="Times New Roman" w:eastAsia="楷体" w:cs="Times New Roman"/>
          <w:sz w:val="32"/>
        </w:rPr>
        <w:t>317016</w:t>
      </w:r>
    </w:p>
    <w:p>
      <w:pPr>
        <w:ind w:firstLine="640" w:firstLineChars="200"/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  <w:r>
        <w:rPr>
          <w:rFonts w:ascii="Times New Roman" w:eastAsia="楷体" w:cs="Times New Roman"/>
          <w:sz w:val="32"/>
        </w:rPr>
        <w:t>电话：</w:t>
      </w:r>
      <w:r>
        <w:rPr>
          <w:rFonts w:hint="eastAsia" w:ascii="Times New Roman" w:hAnsi="Times New Roman" w:eastAsia="楷体" w:cs="Times New Roman"/>
          <w:sz w:val="32"/>
        </w:rPr>
        <w:t>07</w:t>
      </w:r>
      <w:r>
        <w:rPr>
          <w:rFonts w:ascii="Times New Roman" w:hAnsi="Times New Roman" w:eastAsia="楷体" w:cs="Times New Roman"/>
          <w:sz w:val="32"/>
        </w:rPr>
        <w:t>76-855810</w:t>
      </w:r>
    </w:p>
    <w:p>
      <w:pPr>
        <w:ind w:left="-281" w:leftChars="-134"/>
        <w:rPr>
          <w:rFonts w:ascii="Times New Roman" w:hAnsi="Times New Roman" w:eastAsia="楷体" w:cs="Times New Roman"/>
          <w:color w:val="auto"/>
          <w:sz w:val="24"/>
          <w:u w:val="single"/>
        </w:rPr>
      </w:pPr>
      <w:r>
        <w:rPr>
          <w:rFonts w:ascii="Times New Roman" w:hAnsi="Times New Roman" w:eastAsia="楷体" w:cs="Times New Roman"/>
          <w:color w:val="auto"/>
          <w:sz w:val="24"/>
        </w:rPr>
        <w:t>委托方</w:t>
      </w:r>
      <w:r>
        <w:rPr>
          <w:rFonts w:ascii="Times New Roman" w:hAnsi="Times New Roman" w:eastAsia="楷体" w:cs="Times New Roman"/>
          <w:color w:val="auto"/>
          <w:sz w:val="24"/>
          <w:u w:val="single"/>
        </w:rPr>
        <w:tab/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浙江永立钢业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有限公司 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bidi="ar"/>
        </w:rPr>
        <w:t xml:space="preserve">        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 </w:t>
      </w:r>
    </w:p>
    <w:p>
      <w:pPr>
        <w:ind w:left="-281" w:leftChars="-134"/>
        <w:rPr>
          <w:rFonts w:ascii="Times New Roman" w:hAnsi="Times New Roman" w:eastAsia="楷体" w:cs="Times New Roman"/>
          <w:color w:val="auto"/>
          <w:sz w:val="24"/>
          <w:u w:val="single"/>
        </w:rPr>
      </w:pPr>
      <w:r>
        <w:rPr>
          <w:rFonts w:hint="eastAsia" w:ascii="Times New Roman" w:hAnsi="Times New Roman" w:eastAsia="楷体" w:cs="Times New Roman"/>
          <w:color w:val="auto"/>
          <w:sz w:val="24"/>
        </w:rPr>
        <w:t>委托方地址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  浙江省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eastAsia="zh-CN"/>
        </w:rPr>
        <w:t>临海市上盘镇北洋工业区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  </w:t>
      </w:r>
    </w:p>
    <w:p>
      <w:pPr>
        <w:ind w:left="-281" w:leftChars="-134"/>
        <w:rPr>
          <w:rFonts w:ascii="Times New Roman" w:hAnsi="Times New Roman" w:eastAsia="楷体" w:cs="Times New Roman"/>
          <w:color w:val="auto"/>
          <w:sz w:val="24"/>
          <w:u w:val="single"/>
        </w:rPr>
      </w:pPr>
      <w:r>
        <w:rPr>
          <w:rFonts w:ascii="Times New Roman" w:hAnsi="Times New Roman" w:eastAsia="楷体" w:cs="Times New Roman"/>
          <w:color w:val="auto"/>
          <w:sz w:val="24"/>
        </w:rPr>
        <w:t>样品类别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   地下水、土壤 </w:t>
      </w:r>
      <w:r>
        <w:rPr>
          <w:rFonts w:hint="eastAsia" w:ascii="Times New Roman" w:hAnsi="Times New Roman" w:eastAsia="楷体" w:cs="Times New Roman"/>
          <w:color w:val="auto"/>
          <w:sz w:val="24"/>
        </w:rPr>
        <w:t xml:space="preserve">   检测类别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   委托检测   </w:t>
      </w:r>
    </w:p>
    <w:p>
      <w:pPr>
        <w:ind w:left="-281" w:leftChars="-134"/>
        <w:rPr>
          <w:rFonts w:ascii="Times New Roman" w:hAnsi="Times New Roman" w:eastAsia="楷体" w:cs="Times New Roman"/>
          <w:color w:val="auto"/>
          <w:sz w:val="24"/>
          <w:u w:val="single"/>
        </w:rPr>
      </w:pPr>
      <w:r>
        <w:rPr>
          <w:rFonts w:hint="eastAsia" w:ascii="Times New Roman" w:hAnsi="Times New Roman" w:eastAsia="楷体" w:cs="Times New Roman"/>
          <w:color w:val="auto"/>
          <w:sz w:val="24"/>
        </w:rPr>
        <w:t>采样</w:t>
      </w:r>
      <w:r>
        <w:rPr>
          <w:rFonts w:ascii="Times New Roman" w:hAnsi="Times New Roman" w:eastAsia="楷体" w:cs="Times New Roman"/>
          <w:color w:val="auto"/>
          <w:sz w:val="24"/>
        </w:rPr>
        <w:t>日期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   </w:t>
      </w:r>
      <w:r>
        <w:rPr>
          <w:rFonts w:ascii="Times New Roman" w:hAnsi="Times New Roman" w:eastAsia="楷体" w:cs="Times New Roman"/>
          <w:color w:val="auto"/>
          <w:sz w:val="24"/>
          <w:u w:val="single"/>
        </w:rPr>
        <w:t>20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>20</w:t>
      </w:r>
      <w:r>
        <w:rPr>
          <w:rFonts w:ascii="Times New Roman" w:hAnsi="Times New Roman" w:eastAsia="楷体" w:cs="Times New Roman"/>
          <w:color w:val="auto"/>
          <w:sz w:val="24"/>
          <w:u w:val="single"/>
        </w:rPr>
        <w:t>年0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9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>月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29日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>（土壤）、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10月08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日（地下水）   </w:t>
      </w:r>
    </w:p>
    <w:p>
      <w:pPr>
        <w:ind w:left="-281" w:leftChars="-134"/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</w:pPr>
      <w:r>
        <w:rPr>
          <w:rFonts w:hint="eastAsia" w:ascii="Times New Roman" w:hAnsi="Times New Roman" w:eastAsia="楷体" w:cs="Times New Roman"/>
          <w:color w:val="auto"/>
          <w:sz w:val="24"/>
        </w:rPr>
        <w:t>检测日期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   </w:t>
      </w:r>
      <w:r>
        <w:rPr>
          <w:rFonts w:ascii="Times New Roman" w:hAnsi="Times New Roman" w:eastAsia="楷体" w:cs="Times New Roman"/>
          <w:color w:val="auto"/>
          <w:sz w:val="24"/>
          <w:u w:val="single"/>
        </w:rPr>
        <w:t>20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>20</w:t>
      </w:r>
      <w:r>
        <w:rPr>
          <w:rFonts w:ascii="Times New Roman" w:hAnsi="Times New Roman" w:eastAsia="楷体" w:cs="Times New Roman"/>
          <w:color w:val="auto"/>
          <w:sz w:val="24"/>
          <w:u w:val="single"/>
        </w:rPr>
        <w:t>年0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9</w:t>
      </w:r>
      <w:r>
        <w:rPr>
          <w:rFonts w:ascii="Times New Roman" w:hAnsi="Times New Roman" w:eastAsia="楷体" w:cs="Times New Roman"/>
          <w:color w:val="auto"/>
          <w:sz w:val="24"/>
          <w:u w:val="single"/>
        </w:rPr>
        <w:t>月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29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>日至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10月17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日   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 xml:space="preserve"> </w:t>
      </w:r>
    </w:p>
    <w:p>
      <w:pPr>
        <w:spacing w:line="320" w:lineRule="exact"/>
        <w:ind w:left="-281" w:leftChars="-134"/>
        <w:rPr>
          <w:rFonts w:ascii="Times New Roman" w:hAnsi="Times New Roman" w:eastAsia="楷体" w:cs="Times New Roman"/>
          <w:b/>
          <w:bCs/>
          <w:color w:val="auto"/>
          <w:sz w:val="32"/>
          <w:szCs w:val="32"/>
        </w:rPr>
      </w:pPr>
      <w:r>
        <w:rPr>
          <w:rFonts w:hint="eastAsia" w:ascii="Times New Roman" w:hAnsi="Times New Roman" w:eastAsia="楷体" w:cs="Times New Roman"/>
          <w:b/>
          <w:bCs/>
          <w:color w:val="auto"/>
          <w:sz w:val="32"/>
          <w:szCs w:val="32"/>
        </w:rPr>
        <w:t>1、检测方法项目频次点位及评价标准</w:t>
      </w:r>
    </w:p>
    <w:p>
      <w:pPr>
        <w:spacing w:line="320" w:lineRule="exact"/>
        <w:ind w:left="-281" w:leftChars="-134"/>
        <w:rPr>
          <w:rFonts w:ascii="Times New Roman" w:hAnsi="Times New Roman" w:eastAsia="楷体" w:cs="Times New Roman"/>
          <w:color w:val="auto"/>
          <w:sz w:val="24"/>
        </w:rPr>
      </w:pPr>
      <w:r>
        <w:rPr>
          <w:rFonts w:hint="eastAsia" w:ascii="Times New Roman" w:hAnsi="Times New Roman" w:eastAsia="楷体" w:cs="Times New Roman"/>
          <w:color w:val="auto"/>
          <w:sz w:val="24"/>
        </w:rPr>
        <w:t>1.1</w:t>
      </w:r>
      <w:r>
        <w:rPr>
          <w:rFonts w:ascii="Times New Roman" w:hAnsi="Times New Roman" w:eastAsia="楷体" w:cs="Times New Roman"/>
          <w:color w:val="auto"/>
          <w:sz w:val="24"/>
        </w:rPr>
        <w:t>检测方法依据</w:t>
      </w:r>
    </w:p>
    <w:tbl>
      <w:tblPr>
        <w:tblStyle w:val="7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768"/>
        <w:gridCol w:w="2889"/>
        <w:gridCol w:w="3066"/>
        <w:gridCol w:w="146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类别</w:t>
            </w: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项目名称</w:t>
            </w:r>
          </w:p>
        </w:tc>
        <w:tc>
          <w:tcPr>
            <w:tcW w:w="595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方法名称及编号</w:t>
            </w: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检出限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  <w:jc w:val="center"/>
        </w:trPr>
        <w:tc>
          <w:tcPr>
            <w:tcW w:w="850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地下水</w:t>
            </w: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pH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值</w:t>
            </w:r>
          </w:p>
        </w:tc>
        <w:tc>
          <w:tcPr>
            <w:tcW w:w="595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便携式pH计法《水和废水监测分析方法》（第四版增补版）国家环境保护总局（2002年）</w:t>
            </w: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color w:val="auto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六价铬</w:t>
            </w:r>
          </w:p>
        </w:tc>
        <w:tc>
          <w:tcPr>
            <w:tcW w:w="595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水质 六价铬的测定 二苯碳酰二肼分光光度法 GB/T 7467-1987</w:t>
            </w: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0.004mg/L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color w:val="auto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铜</w:t>
            </w:r>
          </w:p>
        </w:tc>
        <w:tc>
          <w:tcPr>
            <w:tcW w:w="5955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水质 32种元素的测定 电感耦合等离子体发射光谱法HJ776-2015</w:t>
            </w: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0.04mg/L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color w:val="auto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镍</w:t>
            </w:r>
          </w:p>
        </w:tc>
        <w:tc>
          <w:tcPr>
            <w:tcW w:w="5955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0.007mg/L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/>
              </w:rPr>
              <w:t>铁</w:t>
            </w:r>
          </w:p>
        </w:tc>
        <w:tc>
          <w:tcPr>
            <w:tcW w:w="5955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0.01</w:t>
            </w:r>
            <w:r>
              <w:rPr>
                <w:rFonts w:ascii="Times New Roman" w:hAnsi="Times New Roman" w:eastAsia="楷体" w:cs="Times New Roman"/>
                <w:sz w:val="24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/>
              </w:rPr>
              <w:t>锌</w:t>
            </w:r>
          </w:p>
        </w:tc>
        <w:tc>
          <w:tcPr>
            <w:tcW w:w="5955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0.009</w:t>
            </w:r>
            <w:r>
              <w:rPr>
                <w:rFonts w:ascii="Times New Roman" w:hAnsi="Times New Roman" w:eastAsia="楷体" w:cs="Times New Roman"/>
                <w:sz w:val="24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/>
              </w:rPr>
              <w:t>铬</w:t>
            </w:r>
          </w:p>
        </w:tc>
        <w:tc>
          <w:tcPr>
            <w:tcW w:w="5955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0.03</w:t>
            </w:r>
            <w:r>
              <w:rPr>
                <w:rFonts w:ascii="Times New Roman" w:hAnsi="Times New Roman" w:eastAsia="楷体" w:cs="Times New Roman"/>
                <w:sz w:val="24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砷</w:t>
            </w:r>
          </w:p>
        </w:tc>
        <w:tc>
          <w:tcPr>
            <w:tcW w:w="5955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水质 汞、砷、硒、铋和锑的测定 原子荧光法 HJ 694-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2014</w:t>
            </w:r>
          </w:p>
        </w:tc>
        <w:tc>
          <w:tcPr>
            <w:tcW w:w="1462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0.3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µg/L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汞</w:t>
            </w:r>
          </w:p>
        </w:tc>
        <w:tc>
          <w:tcPr>
            <w:tcW w:w="5955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462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0.04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µg/L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总氰化物</w:t>
            </w:r>
          </w:p>
        </w:tc>
        <w:tc>
          <w:tcPr>
            <w:tcW w:w="595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水质 氰化物的测定 容量法和分光光度法 HJ 484-2009</w:t>
            </w: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0.004</w:t>
            </w:r>
            <w:r>
              <w:rPr>
                <w:rFonts w:ascii="Times New Roman" w:hAnsi="Times New Roman" w:eastAsia="楷体" w:cs="Times New Roman"/>
                <w:sz w:val="24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氟化物</w:t>
            </w:r>
          </w:p>
        </w:tc>
        <w:tc>
          <w:tcPr>
            <w:tcW w:w="595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水质 无机阴离子（F</w:t>
            </w:r>
            <w:r>
              <w:rPr>
                <w:rFonts w:hint="eastAsia" w:ascii="Times New Roman" w:hAnsi="Times New Roman" w:eastAsia="楷体" w:cs="Times New Roman"/>
                <w:sz w:val="24"/>
                <w:vertAlign w:val="superscript"/>
              </w:rPr>
              <w:t>-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、Cl</w:t>
            </w:r>
            <w:r>
              <w:rPr>
                <w:rFonts w:hint="eastAsia" w:ascii="Times New Roman" w:hAnsi="Times New Roman" w:eastAsia="楷体" w:cs="Times New Roman"/>
                <w:sz w:val="24"/>
                <w:vertAlign w:val="superscript"/>
              </w:rPr>
              <w:t>-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、NO</w:t>
            </w:r>
            <w:r>
              <w:rPr>
                <w:rFonts w:hint="eastAsia" w:ascii="Times New Roman" w:hAnsi="Times New Roman" w:eastAsia="楷体" w:cs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 w:eastAsia="楷体" w:cs="Times New Roman"/>
                <w:sz w:val="24"/>
                <w:vertAlign w:val="superscript"/>
              </w:rPr>
              <w:t>-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、Br</w:t>
            </w:r>
            <w:r>
              <w:rPr>
                <w:rFonts w:hint="eastAsia" w:ascii="Times New Roman" w:hAnsi="Times New Roman" w:eastAsia="楷体" w:cs="Times New Roman"/>
                <w:sz w:val="24"/>
                <w:vertAlign w:val="superscript"/>
              </w:rPr>
              <w:t>-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、NO</w:t>
            </w:r>
            <w:r>
              <w:rPr>
                <w:rFonts w:hint="eastAsia" w:ascii="Times New Roman" w:hAnsi="Times New Roman" w:eastAsia="楷体" w:cs="Times New Roman"/>
                <w:sz w:val="24"/>
                <w:vertAlign w:val="subscript"/>
              </w:rPr>
              <w:t>3</w:t>
            </w:r>
            <w:r>
              <w:rPr>
                <w:rFonts w:hint="eastAsia" w:ascii="Times New Roman" w:hAnsi="Times New Roman" w:eastAsia="楷体" w:cs="Times New Roman"/>
                <w:sz w:val="24"/>
                <w:vertAlign w:val="superscript"/>
              </w:rPr>
              <w:t>-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、PO</w:t>
            </w:r>
            <w:r>
              <w:rPr>
                <w:rFonts w:hint="eastAsia" w:ascii="Times New Roman" w:hAnsi="Times New Roman" w:eastAsia="楷体" w:cs="Times New Roman"/>
                <w:sz w:val="24"/>
                <w:vertAlign w:val="subscript"/>
              </w:rPr>
              <w:t>4</w:t>
            </w:r>
            <w:r>
              <w:rPr>
                <w:rFonts w:hint="eastAsia" w:ascii="Times New Roman" w:hAnsi="Times New Roman" w:eastAsia="楷体" w:cs="Times New Roman"/>
                <w:sz w:val="24"/>
                <w:vertAlign w:val="superscript"/>
              </w:rPr>
              <w:t>3-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、SO</w:t>
            </w:r>
            <w:r>
              <w:rPr>
                <w:rFonts w:hint="eastAsia" w:ascii="Times New Roman" w:hAnsi="Times New Roman" w:eastAsia="楷体" w:cs="Times New Roman"/>
                <w:sz w:val="24"/>
                <w:vertAlign w:val="subscript"/>
              </w:rPr>
              <w:t>3</w:t>
            </w:r>
            <w:r>
              <w:rPr>
                <w:rFonts w:hint="eastAsia" w:ascii="Times New Roman" w:hAnsi="Times New Roman" w:eastAsia="楷体" w:cs="Times New Roman"/>
                <w:sz w:val="24"/>
                <w:vertAlign w:val="superscript"/>
              </w:rPr>
              <w:t>2-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、SO</w:t>
            </w:r>
            <w:r>
              <w:rPr>
                <w:rFonts w:hint="eastAsia" w:ascii="Times New Roman" w:hAnsi="Times New Roman" w:eastAsia="楷体" w:cs="Times New Roman"/>
                <w:sz w:val="24"/>
                <w:vertAlign w:val="subscript"/>
              </w:rPr>
              <w:t>4</w:t>
            </w:r>
            <w:r>
              <w:rPr>
                <w:rFonts w:hint="eastAsia" w:ascii="Times New Roman" w:hAnsi="Times New Roman" w:eastAsia="楷体" w:cs="Times New Roman"/>
                <w:sz w:val="24"/>
                <w:vertAlign w:val="superscript"/>
              </w:rPr>
              <w:t>2-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）的测定 离子色谱法 HJ84-2016</w:t>
            </w: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0.006</w:t>
            </w:r>
            <w:r>
              <w:rPr>
                <w:rFonts w:ascii="Times New Roman" w:hAnsi="Times New Roman" w:eastAsia="楷体" w:cs="Times New Roman"/>
                <w:sz w:val="24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挥发酚</w:t>
            </w:r>
          </w:p>
        </w:tc>
        <w:tc>
          <w:tcPr>
            <w:tcW w:w="595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水质 挥发酚的测定 4-氨基安替比林分光光度法  HJ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503-2009</w:t>
            </w: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0.0003</w:t>
            </w:r>
            <w:r>
              <w:rPr>
                <w:rFonts w:ascii="Times New Roman" w:hAnsi="Times New Roman" w:eastAsia="楷体" w:cs="Times New Roman"/>
                <w:sz w:val="24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土壤</w:t>
            </w: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铜</w:t>
            </w:r>
          </w:p>
        </w:tc>
        <w:tc>
          <w:tcPr>
            <w:tcW w:w="5955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土壤和沉积物 铜、锌、铅、镍、铬的测定 火焰原子吸收分光光度法 HJ491-2019</w:t>
            </w: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1mg/kg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镍</w:t>
            </w:r>
          </w:p>
        </w:tc>
        <w:tc>
          <w:tcPr>
            <w:tcW w:w="5955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</w:pP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3mg/kg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铅</w:t>
            </w:r>
          </w:p>
        </w:tc>
        <w:tc>
          <w:tcPr>
            <w:tcW w:w="5955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10mg/kg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镉</w:t>
            </w:r>
          </w:p>
        </w:tc>
        <w:tc>
          <w:tcPr>
            <w:tcW w:w="595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土壤质量 铅、镉的测定 石墨炉原子吸收分光光度法</w:t>
            </w:r>
          </w:p>
          <w:p>
            <w:pPr>
              <w:spacing w:line="240" w:lineRule="exact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GB/T 17141-1997</w:t>
            </w: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0.01mg/kg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汞</w:t>
            </w:r>
          </w:p>
        </w:tc>
        <w:tc>
          <w:tcPr>
            <w:tcW w:w="5955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spacing w:beforeAutospacing="0" w:afterAutospacing="0" w:line="240" w:lineRule="exact"/>
              <w:jc w:val="both"/>
              <w:rPr>
                <w:rFonts w:ascii="Times New Roman" w:hAnsi="Times New Roman" w:eastAsia="楷体"/>
              </w:rPr>
            </w:pPr>
            <w:r>
              <w:rPr>
                <w:rFonts w:ascii="Times New Roman" w:hAnsi="Times New Roman" w:eastAsia="楷体"/>
                <w:kern w:val="2"/>
              </w:rPr>
              <w:t>土壤和沉积物 汞、砷、硒、铋、锑的测定 微波消解/原子荧光法 HJ 680-2013</w:t>
            </w: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0.002mg/kg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砷</w:t>
            </w:r>
          </w:p>
        </w:tc>
        <w:tc>
          <w:tcPr>
            <w:tcW w:w="5955" w:type="dxa"/>
            <w:gridSpan w:val="2"/>
            <w:vMerge w:val="continue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240" w:lineRule="exact"/>
              <w:rPr>
                <w:rFonts w:ascii="Times New Roman" w:hAnsi="Times New Roman" w:eastAsia="楷体"/>
              </w:rPr>
            </w:pP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0.01mg/kg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7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总氟化物</w:t>
            </w:r>
          </w:p>
        </w:tc>
        <w:tc>
          <w:tcPr>
            <w:tcW w:w="5955" w:type="dxa"/>
            <w:gridSpan w:val="2"/>
            <w:tcBorders>
              <w:tl2br w:val="nil"/>
              <w:tr2bl w:val="nil"/>
            </w:tcBorders>
          </w:tcPr>
          <w:p>
            <w:pPr>
              <w:pStyle w:val="6"/>
              <w:spacing w:beforeAutospacing="0" w:afterAutospacing="0" w:line="240" w:lineRule="exact"/>
              <w:rPr>
                <w:rFonts w:hint="eastAsia"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土壤 水溶性氟化物和总氟化物的测定 离子</w:t>
            </w:r>
          </w:p>
          <w:p>
            <w:pPr>
              <w:pStyle w:val="6"/>
              <w:spacing w:beforeAutospacing="0" w:afterAutospacing="0" w:line="240" w:lineRule="exact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选择电极法 HJ 873-2017</w:t>
            </w:r>
          </w:p>
        </w:tc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63</w:t>
            </w:r>
            <w:r>
              <w:rPr>
                <w:rFonts w:ascii="Times New Roman" w:hAnsi="Times New Roman" w:eastAsia="楷体" w:cs="Times New Roman"/>
                <w:sz w:val="24"/>
              </w:rPr>
              <w:t>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465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rPr>
                <w:rFonts w:hint="eastAsia" w:ascii="Times New Roman" w:hAnsi="Times New Roman" w:eastAsia="楷体" w:cs="Times New Roman"/>
                <w:color w:val="FF0000"/>
                <w:sz w:val="24"/>
                <w:lang w:eastAsia="zh-CN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四氯化碳、氯仿、1,1-二氯乙烷、1,2-二氯乙烷、1,1-二氯乙烯、顺-1,2-二氯乙烯、反-1,2-二氯乙烯、二氯甲烷、1,2-二氯丙烷、1,1,1,2-四氯乙烷、1,1,2,2-四氯乙烷、四氯乙烯、1,1,1-三氯乙烷、1,1,2-三氯乙烷、三氯乙烯、1,2,3-三氯丙烷、氯乙烯、苯、氯苯、1,2-二氯苯、1,4-二氯苯、乙苯、苯乙烯、甲苯、间二甲苯+对二甲苯、邻二甲苯</w:t>
            </w:r>
          </w:p>
        </w:tc>
        <w:tc>
          <w:tcPr>
            <w:tcW w:w="306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土壤和沉积物 挥发性有机物的测定 吹扫捕集/气相色谱-质谱法HJ 605-2011</w:t>
            </w:r>
          </w:p>
        </w:tc>
        <w:tc>
          <w:tcPr>
            <w:tcW w:w="146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FF0000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详见下表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8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465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rPr>
                <w:rFonts w:hint="eastAsia" w:ascii="Times New Roman" w:hAnsi="Times New Roman" w:eastAsia="楷体" w:cs="Times New Roman"/>
                <w:color w:val="FF0000"/>
                <w:sz w:val="24"/>
                <w:lang w:eastAsia="zh-CN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苯并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[</w:t>
            </w:r>
            <w:r>
              <w:rPr>
                <w:rFonts w:ascii="Times New Roman" w:hAnsi="Times New Roman" w:eastAsia="楷体" w:cs="Times New Roman"/>
                <w:sz w:val="24"/>
              </w:rPr>
              <w:t>a]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蒽、</w:t>
            </w:r>
            <w:r>
              <w:rPr>
                <w:rFonts w:ascii="Times New Roman" w:hAnsi="Times New Roman" w:eastAsia="楷体" w:cs="Times New Roman"/>
                <w:sz w:val="24"/>
              </w:rPr>
              <w:t>苯并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[</w:t>
            </w:r>
            <w:r>
              <w:rPr>
                <w:rFonts w:ascii="Times New Roman" w:hAnsi="Times New Roman" w:eastAsia="楷体" w:cs="Times New Roman"/>
                <w:sz w:val="24"/>
              </w:rPr>
              <w:t>a]芘、苯并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[</w:t>
            </w:r>
            <w:r>
              <w:rPr>
                <w:rFonts w:ascii="Times New Roman" w:hAnsi="Times New Roman" w:eastAsia="楷体" w:cs="Times New Roman"/>
                <w:sz w:val="24"/>
              </w:rPr>
              <w:t>b]荧蒽、苯并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[</w:t>
            </w:r>
            <w:r>
              <w:rPr>
                <w:rFonts w:ascii="Times New Roman" w:hAnsi="Times New Roman" w:eastAsia="楷体" w:cs="Times New Roman"/>
                <w:sz w:val="24"/>
              </w:rPr>
              <w:t>k]荧蒽、䓛、硝基苯、2-氯酚、二苯并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[</w:t>
            </w:r>
            <w:r>
              <w:rPr>
                <w:rFonts w:ascii="Times New Roman" w:hAnsi="Times New Roman" w:eastAsia="楷体" w:cs="Times New Roman"/>
                <w:sz w:val="24"/>
              </w:rPr>
              <w:t>a,h]蒽、茚并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[</w:t>
            </w:r>
            <w:r>
              <w:rPr>
                <w:rFonts w:ascii="Times New Roman" w:hAnsi="Times New Roman" w:eastAsia="楷体" w:cs="Times New Roman"/>
                <w:sz w:val="24"/>
              </w:rPr>
              <w:t>1,2,3-cd]、萘</w:t>
            </w:r>
          </w:p>
        </w:tc>
        <w:tc>
          <w:tcPr>
            <w:tcW w:w="306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土壤和沉积物 半挥发性有机物的测定 气相色谱-质谱法 HJ 834-2017</w:t>
            </w:r>
          </w:p>
        </w:tc>
        <w:tc>
          <w:tcPr>
            <w:tcW w:w="146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FF0000"/>
                <w:sz w:val="24"/>
              </w:rPr>
            </w:pPr>
          </w:p>
        </w:tc>
      </w:tr>
    </w:tbl>
    <w:p>
      <w:pPr>
        <w:pStyle w:val="10"/>
        <w:rPr>
          <w:rFonts w:ascii="Times New Roman" w:hAnsi="Times New Roman" w:eastAsia="楷体" w:cs="Times New Roman"/>
        </w:rPr>
      </w:pPr>
      <w:r>
        <w:rPr>
          <w:rFonts w:hint="eastAsia" w:ascii="Times New Roman" w:hAnsi="Times New Roman" w:eastAsia="楷体" w:cs="Times New Roman"/>
        </w:rPr>
        <w:t>土壤检测项目检出限一览表</w:t>
      </w:r>
    </w:p>
    <w:tbl>
      <w:tblPr>
        <w:tblStyle w:val="7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9"/>
        <w:gridCol w:w="2507"/>
        <w:gridCol w:w="2508"/>
        <w:gridCol w:w="251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bookmarkStart w:id="0" w:name="OLE_LINK1"/>
            <w:r>
              <w:rPr>
                <w:rFonts w:hint="eastAsia" w:ascii="Times New Roman" w:hAnsi="Times New Roman" w:eastAsia="楷体" w:cs="Times New Roman"/>
              </w:rPr>
              <w:t>分析项目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检出限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分析项目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检出限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35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挥发性有机物                                                          单位：mg/kg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四氯化碳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0.0013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1,1,1-三氯乙烷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氯仿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0.0011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1,1,2-三氯乙烷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1,1-二氯乙烷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0.0012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三氯乙烯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1,2-二氯乙烷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0.0013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1,2,3-三氯丙烷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1,1-二氯乙烯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氯苯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顺-1,2-二氯乙烯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0.0013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1,2-二氯苯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反-1,2-二氯乙烯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0.0014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1,4-二氯苯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二氯甲烷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0.0015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乙苯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1,2-二氯丙烷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0.008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氯乙烯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1,1,1,2-四氯乙烷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0.0012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甲苯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1,1,2,2-四氯乙烷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0.0012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间二甲苯+对二甲苯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四氯乙烯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0.0014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邻二甲苯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氯甲烷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苯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苯乙烯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0.0011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/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0035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半挥发性有机物                                                         单位：mg/kg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硝基苯</w:t>
            </w:r>
          </w:p>
        </w:tc>
        <w:tc>
          <w:tcPr>
            <w:tcW w:w="2507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0.09</w:t>
            </w:r>
          </w:p>
        </w:tc>
        <w:tc>
          <w:tcPr>
            <w:tcW w:w="2508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䓛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2-氯酚</w:t>
            </w:r>
          </w:p>
        </w:tc>
        <w:tc>
          <w:tcPr>
            <w:tcW w:w="2507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0.06</w:t>
            </w:r>
          </w:p>
        </w:tc>
        <w:tc>
          <w:tcPr>
            <w:tcW w:w="2508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二苯并[a,h]蒽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苯并[a]蒽</w:t>
            </w:r>
          </w:p>
        </w:tc>
        <w:tc>
          <w:tcPr>
            <w:tcW w:w="2507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0.1</w:t>
            </w:r>
          </w:p>
        </w:tc>
        <w:tc>
          <w:tcPr>
            <w:tcW w:w="2508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茚并[1,2,3-cd]芘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苯并[b]荧蒽</w:t>
            </w:r>
          </w:p>
        </w:tc>
        <w:tc>
          <w:tcPr>
            <w:tcW w:w="2507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0.2</w:t>
            </w:r>
          </w:p>
        </w:tc>
        <w:tc>
          <w:tcPr>
            <w:tcW w:w="2508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萘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0.09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09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苯并[k]荧蒽</w:t>
            </w:r>
          </w:p>
        </w:tc>
        <w:tc>
          <w:tcPr>
            <w:tcW w:w="2507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0.1</w:t>
            </w:r>
          </w:p>
        </w:tc>
        <w:tc>
          <w:tcPr>
            <w:tcW w:w="2508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苯并[a]芘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pStyle w:val="10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0.1</w:t>
            </w:r>
          </w:p>
        </w:tc>
      </w:tr>
      <w:bookmarkEnd w:id="0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line="320" w:lineRule="exact"/>
        <w:textAlignment w:val="auto"/>
        <w:rPr>
          <w:rFonts w:ascii="Times New Roman" w:hAnsi="Times New Roman" w:eastAsia="楷体" w:cs="Times New Roman"/>
          <w:color w:val="FF0000"/>
          <w:sz w:val="24"/>
        </w:rPr>
      </w:pPr>
      <w:r>
        <w:rPr>
          <w:rFonts w:hint="eastAsia" w:ascii="Times New Roman" w:hAnsi="Times New Roman" w:eastAsia="楷体" w:cs="Times New Roman"/>
          <w:sz w:val="24"/>
        </w:rPr>
        <w:t>1.2</w:t>
      </w:r>
      <w:r>
        <w:rPr>
          <w:rFonts w:hint="eastAsia" w:ascii="Times New Roman" w:hAnsi="Times New Roman" w:eastAsia="楷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检测要求、检测项目及频次</w:t>
      </w:r>
    </w:p>
    <w:tbl>
      <w:tblPr>
        <w:tblStyle w:val="7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2"/>
        <w:gridCol w:w="1258"/>
        <w:gridCol w:w="762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1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地下水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258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检</w:t>
            </w:r>
            <w:r>
              <w:rPr>
                <w:rFonts w:ascii="Times New Roman" w:hAnsi="Times New Roman" w:eastAsia="楷体" w:cs="Times New Roman"/>
                <w:sz w:val="24"/>
              </w:rPr>
              <w:t>测要求</w:t>
            </w:r>
          </w:p>
        </w:tc>
        <w:tc>
          <w:tcPr>
            <w:tcW w:w="7625" w:type="dxa"/>
            <w:tcBorders>
              <w:tl2br w:val="nil"/>
              <w:tr2bl w:val="nil"/>
            </w:tcBorders>
          </w:tcPr>
          <w:p>
            <w:pPr>
              <w:spacing w:line="280" w:lineRule="exact"/>
              <w:ind w:firstLine="480" w:firstLineChars="200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根据委托方提供的监测方案要求，确定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个检测点位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，利用厂内现有水井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车间（W01）、污水站（W02）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，用贝勒管采样，同时现场检测pH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值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、溶解氧、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浊度、温度监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控水质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要求。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258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检</w:t>
            </w:r>
            <w:r>
              <w:rPr>
                <w:rFonts w:ascii="Times New Roman" w:hAnsi="Times New Roman" w:eastAsia="楷体" w:cs="Times New Roman"/>
                <w:sz w:val="24"/>
              </w:rPr>
              <w:t>测项目</w:t>
            </w:r>
          </w:p>
        </w:tc>
        <w:tc>
          <w:tcPr>
            <w:tcW w:w="7625" w:type="dxa"/>
            <w:tcBorders>
              <w:tl2br w:val="nil"/>
              <w:tr2bl w:val="nil"/>
            </w:tcBorders>
          </w:tcPr>
          <w:p>
            <w:pPr>
              <w:pStyle w:val="24"/>
              <w:ind w:right="-15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重金属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铁、锌、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铜、镍、砷、汞、铬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adjustRightInd w:val="0"/>
              <w:snapToGrid w:val="0"/>
              <w:spacing w:line="240" w:lineRule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其他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：六价铬、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值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总氰化物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挥发酚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氟化物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1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258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检</w:t>
            </w:r>
            <w:r>
              <w:rPr>
                <w:rFonts w:ascii="Times New Roman" w:hAnsi="Times New Roman" w:eastAsia="楷体" w:cs="Times New Roman"/>
                <w:sz w:val="24"/>
              </w:rPr>
              <w:t>测频次</w:t>
            </w:r>
          </w:p>
        </w:tc>
        <w:tc>
          <w:tcPr>
            <w:tcW w:w="7625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1</w:t>
            </w:r>
            <w:r>
              <w:rPr>
                <w:rFonts w:ascii="Times New Roman" w:hAnsi="Times New Roman" w:eastAsia="楷体" w:cs="Times New Roman"/>
                <w:sz w:val="24"/>
              </w:rPr>
              <w:t>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1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258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采样时间</w:t>
            </w:r>
          </w:p>
        </w:tc>
        <w:tc>
          <w:tcPr>
            <w:tcW w:w="7625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20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20</w:t>
            </w:r>
            <w:r>
              <w:rPr>
                <w:rFonts w:ascii="Times New Roman" w:hAnsi="Times New Roman" w:eastAsia="楷体" w:cs="Times New Roman"/>
                <w:sz w:val="24"/>
              </w:rPr>
              <w:t>年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月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08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1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258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评价标准</w:t>
            </w:r>
          </w:p>
        </w:tc>
        <w:tc>
          <w:tcPr>
            <w:tcW w:w="7625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《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地下水质量标准》（</w:t>
            </w:r>
            <w:r>
              <w:rPr>
                <w:rFonts w:ascii="Times New Roman" w:hAnsi="Times New Roman" w:eastAsia="楷体" w:cs="Times New Roman"/>
                <w:sz w:val="24"/>
              </w:rPr>
              <w:t xml:space="preserve">GB 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14848</w:t>
            </w:r>
            <w:r>
              <w:rPr>
                <w:rFonts w:ascii="Times New Roman" w:hAnsi="Times New Roman" w:eastAsia="楷体" w:cs="Times New Roman"/>
                <w:sz w:val="24"/>
              </w:rPr>
              <w:t>-20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17）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土壤</w:t>
            </w:r>
          </w:p>
        </w:tc>
        <w:tc>
          <w:tcPr>
            <w:tcW w:w="1258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检</w:t>
            </w:r>
            <w:r>
              <w:rPr>
                <w:rFonts w:ascii="Times New Roman" w:hAnsi="Times New Roman" w:eastAsia="楷体" w:cs="Times New Roman"/>
                <w:sz w:val="24"/>
              </w:rPr>
              <w:t>测要求</w:t>
            </w:r>
          </w:p>
        </w:tc>
        <w:tc>
          <w:tcPr>
            <w:tcW w:w="7625" w:type="dxa"/>
            <w:tcBorders>
              <w:tl2br w:val="nil"/>
              <w:tr2bl w:val="nil"/>
            </w:tcBorders>
          </w:tcPr>
          <w:p>
            <w:pPr>
              <w:ind w:firstLine="480" w:firstLineChars="200"/>
              <w:rPr>
                <w:rFonts w:ascii="Times New Roman" w:hAnsi="Times New Roman" w:eastAsia="楷体" w:cs="Times New Roman"/>
                <w:color w:val="FF0000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根据委托方提供的监测方案要求，确定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采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3</w:t>
            </w:r>
            <w:bookmarkStart w:id="11" w:name="_GoBack"/>
            <w:bookmarkEnd w:id="11"/>
            <w:r>
              <w:rPr>
                <w:rFonts w:ascii="Times New Roman" w:hAnsi="Times New Roman" w:eastAsia="楷体" w:cs="Times New Roman"/>
                <w:sz w:val="24"/>
              </w:rPr>
              <w:t>个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柱状土</w:t>
            </w: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，每个采样点位土壤深度为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6m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：</w:t>
            </w:r>
            <w:r>
              <w:rPr>
                <w:rFonts w:hint="eastAsia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/>
              </w:rPr>
              <w:t>车间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01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ascii="Times New Roman" w:hAnsi="Times New Roman" w:eastAsia="楷体" w:cs="Times New Roman"/>
                <w:sz w:val="24"/>
              </w:rPr>
              <w:t>、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污水站（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02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）、</w:t>
            </w: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罐区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（S03）</w:t>
            </w:r>
            <w:r>
              <w:rPr>
                <w:rFonts w:ascii="Times New Roman" w:hAnsi="Times New Roman" w:eastAsia="楷体" w:cs="Times New Roman"/>
                <w:sz w:val="24"/>
              </w:rPr>
              <w:t>，用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QS系列</w:t>
            </w:r>
            <w:r>
              <w:rPr>
                <w:rFonts w:ascii="Times New Roman" w:hAnsi="Times New Roman" w:eastAsia="楷体" w:cs="Times New Roman"/>
                <w:sz w:val="24"/>
              </w:rPr>
              <w:t>直压式机械套管采样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，每个柱状</w:t>
            </w: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样采集一个表层及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用PID、XRF筛选</w:t>
            </w: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出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2个下层样品，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三个样品送实验室检测</w:t>
            </w: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。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/>
              </w:rPr>
              <w:t>S01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：1个表层土壤样品，2个下层土土壤样品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，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/>
              </w:rPr>
              <w:t>S02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：1个表层土壤样品，2个下层土土壤样品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/>
              </w:rPr>
              <w:t>，S03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：1个表层土壤样品，2个下层土土壤样品。</w:t>
            </w:r>
          </w:p>
          <w:p>
            <w:pPr>
              <w:numPr>
                <w:ilvl w:val="0"/>
                <w:numId w:val="1"/>
              </w:numP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S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01，</w:t>
            </w:r>
            <w:r>
              <w:rPr>
                <w:rFonts w:hint="eastAsia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/>
              </w:rPr>
              <w:t>生产车间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碎石层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 w:bidi="ar"/>
              </w:rPr>
              <w:t>和硬化层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18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dm：第一层土壤样品采集位置：地面以下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18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23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bidi="ar"/>
              </w:rPr>
              <w:t>d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m的土壤； 第二层土壤样品采集位置：地面以下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23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28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dm的土壤；第三层土壤样品采集位置：地面以下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48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58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dm的土壤;</w:t>
            </w:r>
          </w:p>
          <w:p>
            <w:pPr>
              <w:numPr>
                <w:ilvl w:val="0"/>
                <w:numId w:val="1"/>
              </w:numPr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 w:bidi="ar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S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02，</w:t>
            </w:r>
            <w:r>
              <w:rPr>
                <w:rFonts w:hint="eastAsia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/>
              </w:rPr>
              <w:t>污水站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碎石层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 w:bidi="ar"/>
              </w:rPr>
              <w:t>和硬化层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17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dm；第一层土壤样品采集位置：地面以下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17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22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dm的土壤；第二层土壤样品采集位置：地面以下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22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27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dm的土壤；第三层土壤样品采集位置：地面以下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47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57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dm的土壤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 w:bidi="ar"/>
              </w:rPr>
              <w:t>；</w:t>
            </w:r>
          </w:p>
          <w:p>
            <w:pPr>
              <w:numPr>
                <w:ilvl w:val="0"/>
                <w:numId w:val="1"/>
              </w:numPr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 w:bidi="ar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S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0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3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，</w:t>
            </w:r>
            <w:r>
              <w:rPr>
                <w:rFonts w:hint="eastAsia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/>
              </w:rPr>
              <w:t>罐区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碎石层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 w:bidi="ar"/>
              </w:rPr>
              <w:t>和硬化层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16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dm；第一层土壤样品采集位置：地面以下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16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21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dm的土壤；第二层土壤样品采集位置：地面以下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21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26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dm的土壤；第三层土壤样品采集位置：地面以下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46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56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dm的土壤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 w:bidi="ar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8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检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测项目</w:t>
            </w:r>
          </w:p>
        </w:tc>
        <w:tc>
          <w:tcPr>
            <w:tcW w:w="762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rPr>
                <w:rFonts w:hint="eastAsia" w:eastAsia="楷体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45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个基本项目（六价铬*）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+特征因子：总氟化物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8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检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测频次</w:t>
            </w:r>
          </w:p>
        </w:tc>
        <w:tc>
          <w:tcPr>
            <w:tcW w:w="762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一次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258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采样时间</w:t>
            </w:r>
          </w:p>
        </w:tc>
        <w:tc>
          <w:tcPr>
            <w:tcW w:w="7625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2020年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258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评价标准</w:t>
            </w:r>
          </w:p>
        </w:tc>
        <w:tc>
          <w:tcPr>
            <w:tcW w:w="7625" w:type="dxa"/>
            <w:tcBorders>
              <w:tl2br w:val="nil"/>
              <w:tr2bl w:val="nil"/>
            </w:tcBorders>
          </w:tcPr>
          <w:p>
            <w:pPr>
              <w:spacing w:line="240" w:lineRule="exact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《土壤环境质量 建设用地土壤污染风险管控标准》（GB 36600-2018）第二类用地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评价</w:t>
            </w:r>
          </w:p>
        </w:tc>
      </w:tr>
    </w:tbl>
    <w:p>
      <w:pPr>
        <w:adjustRightInd w:val="0"/>
        <w:snapToGrid w:val="0"/>
        <w:spacing w:line="360" w:lineRule="auto"/>
        <w:ind w:left="-420" w:leftChars="-200" w:right="-630" w:rightChars="-300"/>
        <w:rPr>
          <w:rFonts w:hint="eastAsia"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注：带*不在我公司资质范围，经委托方同意，土壤中六价铬*分包给杭州普洛赛斯检测科技有限公司检测，资质认定许可编号：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171100111484</w:t>
      </w:r>
      <w:r>
        <w:rPr>
          <w:rFonts w:hint="eastAsia"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，本报告可将获得的分包数据结果纳入自身的检测报告中。</w:t>
      </w:r>
    </w:p>
    <w:p>
      <w:pPr>
        <w:adjustRightInd w:val="0"/>
        <w:snapToGrid w:val="0"/>
        <w:spacing w:before="156" w:beforeLines="50" w:line="320" w:lineRule="exact"/>
        <w:ind w:left="-263" w:leftChars="-125"/>
        <w:rPr>
          <w:rFonts w:ascii="Times New Roman" w:hAnsi="Times New Roman" w:eastAsia="楷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1.3检测点位经纬度及样品性状</w:t>
      </w:r>
    </w:p>
    <w:p>
      <w:pPr>
        <w:adjustRightInd w:val="0"/>
        <w:snapToGrid w:val="0"/>
        <w:spacing w:before="156" w:beforeLines="50" w:line="320" w:lineRule="exact"/>
        <w:ind w:left="-281" w:leftChars="-134"/>
        <w:rPr>
          <w:rFonts w:ascii="Times New Roman" w:hAnsi="Times New Roman" w:eastAsia="楷体" w:cs="Times New Roman"/>
          <w:sz w:val="24"/>
        </w:rPr>
      </w:pPr>
      <w:r>
        <w:rPr>
          <w:rFonts w:hint="eastAsia" w:ascii="Times New Roman" w:hAnsi="Times New Roman" w:eastAsia="楷体" w:cs="Times New Roman"/>
          <w:sz w:val="24"/>
        </w:rPr>
        <w:t>（1）地下水</w:t>
      </w:r>
    </w:p>
    <w:tbl>
      <w:tblPr>
        <w:tblStyle w:val="7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8"/>
        <w:gridCol w:w="1381"/>
        <w:gridCol w:w="4260"/>
        <w:gridCol w:w="1316"/>
        <w:gridCol w:w="163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48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检测类别</w:t>
            </w:r>
          </w:p>
        </w:tc>
        <w:tc>
          <w:tcPr>
            <w:tcW w:w="138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点位名称</w:t>
            </w:r>
          </w:p>
        </w:tc>
        <w:tc>
          <w:tcPr>
            <w:tcW w:w="426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经纬度</w:t>
            </w:r>
          </w:p>
        </w:tc>
        <w:tc>
          <w:tcPr>
            <w:tcW w:w="131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点位</w:t>
            </w: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编号</w:t>
            </w:r>
          </w:p>
        </w:tc>
        <w:tc>
          <w:tcPr>
            <w:tcW w:w="16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样品外观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44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地下水</w:t>
            </w:r>
          </w:p>
        </w:tc>
        <w:tc>
          <w:tcPr>
            <w:tcW w:w="138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车间</w:t>
            </w:r>
          </w:p>
        </w:tc>
        <w:tc>
          <w:tcPr>
            <w:tcW w:w="426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楷体" w:cs="Times New Roman"/>
                <w:color w:val="auto"/>
                <w:sz w:val="24"/>
              </w:rPr>
            </w:pP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北纬28°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bidi="ar"/>
              </w:rPr>
              <w:t>4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5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32.85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″东经12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bidi="ar"/>
              </w:rPr>
              <w:t>1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bidi="ar"/>
              </w:rPr>
              <w:t>3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8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09.82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″</w:t>
            </w:r>
          </w:p>
        </w:tc>
        <w:tc>
          <w:tcPr>
            <w:tcW w:w="13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01</w:t>
            </w:r>
          </w:p>
        </w:tc>
        <w:tc>
          <w:tcPr>
            <w:tcW w:w="1630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浅黄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、透明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4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楷体" w:cs="Times New Roman"/>
                <w:sz w:val="24"/>
              </w:rPr>
            </w:pPr>
          </w:p>
        </w:tc>
        <w:tc>
          <w:tcPr>
            <w:tcW w:w="138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污水站</w:t>
            </w:r>
          </w:p>
        </w:tc>
        <w:tc>
          <w:tcPr>
            <w:tcW w:w="426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</w:pP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北纬28°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bidi="ar"/>
              </w:rPr>
              <w:t>4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5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34.96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″东经12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bidi="ar"/>
              </w:rPr>
              <w:t>1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bidi="ar"/>
              </w:rPr>
              <w:t>3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8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 w:bidi="ar"/>
              </w:rPr>
              <w:t>00.37</w:t>
            </w:r>
            <w:r>
              <w:rPr>
                <w:rFonts w:ascii="Times New Roman" w:hAnsi="Times New Roman" w:eastAsia="楷体" w:cs="Times New Roman"/>
                <w:color w:val="auto"/>
                <w:sz w:val="24"/>
                <w:lang w:bidi="ar"/>
              </w:rPr>
              <w:t>″</w:t>
            </w:r>
          </w:p>
        </w:tc>
        <w:tc>
          <w:tcPr>
            <w:tcW w:w="13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W02</w:t>
            </w:r>
          </w:p>
        </w:tc>
        <w:tc>
          <w:tcPr>
            <w:tcW w:w="1630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无色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、透明</w:t>
            </w:r>
          </w:p>
        </w:tc>
      </w:tr>
    </w:tbl>
    <w:p>
      <w:pPr>
        <w:adjustRightInd w:val="0"/>
        <w:snapToGrid w:val="0"/>
        <w:spacing w:before="156" w:beforeLines="50" w:line="320" w:lineRule="exact"/>
        <w:ind w:left="-281" w:leftChars="-134"/>
        <w:rPr>
          <w:rFonts w:ascii="Times New Roman" w:hAnsi="Times New Roman" w:eastAsia="楷体" w:cs="Times New Roman"/>
          <w:sz w:val="24"/>
        </w:rPr>
      </w:pPr>
      <w:r>
        <w:rPr>
          <w:rFonts w:hint="eastAsia" w:ascii="Times New Roman" w:hAnsi="Times New Roman" w:eastAsia="楷体" w:cs="Times New Roman"/>
          <w:sz w:val="24"/>
        </w:rPr>
        <w:t>（2）土壤</w:t>
      </w:r>
    </w:p>
    <w:tbl>
      <w:tblPr>
        <w:tblStyle w:val="7"/>
        <w:tblW w:w="1020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40"/>
        <w:gridCol w:w="4167"/>
        <w:gridCol w:w="729"/>
        <w:gridCol w:w="986"/>
        <w:gridCol w:w="986"/>
        <w:gridCol w:w="98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bookmarkStart w:id="1" w:name="OLE_LINK15"/>
            <w:r>
              <w:rPr>
                <w:rFonts w:ascii="Times New Roman" w:hAnsi="Times New Roman" w:eastAsia="楷体" w:cs="Times New Roman"/>
                <w:sz w:val="24"/>
              </w:rPr>
              <w:t>检测类别</w:t>
            </w:r>
          </w:p>
        </w:tc>
        <w:tc>
          <w:tcPr>
            <w:tcW w:w="16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点位名称</w:t>
            </w:r>
          </w:p>
        </w:tc>
        <w:tc>
          <w:tcPr>
            <w:tcW w:w="416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经纬度</w:t>
            </w:r>
          </w:p>
        </w:tc>
        <w:tc>
          <w:tcPr>
            <w:tcW w:w="72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点位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编号</w:t>
            </w:r>
          </w:p>
        </w:tc>
        <w:tc>
          <w:tcPr>
            <w:tcW w:w="2959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样品外观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</w:pPr>
          </w:p>
        </w:tc>
        <w:tc>
          <w:tcPr>
            <w:tcW w:w="16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</w:pPr>
          </w:p>
        </w:tc>
        <w:tc>
          <w:tcPr>
            <w:tcW w:w="41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</w:pPr>
          </w:p>
        </w:tc>
        <w:tc>
          <w:tcPr>
            <w:tcW w:w="72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第一层</w:t>
            </w:r>
          </w:p>
        </w:tc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第二层</w:t>
            </w:r>
          </w:p>
        </w:tc>
        <w:tc>
          <w:tcPr>
            <w:tcW w:w="9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第三层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71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土壤</w:t>
            </w:r>
          </w:p>
        </w:tc>
        <w:tc>
          <w:tcPr>
            <w:tcW w:w="1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车间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北纬28°4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 w:bidi="ar"/>
              </w:rPr>
              <w:t>5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 w:bidi="ar"/>
              </w:rPr>
              <w:t>33.35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″东经12</w:t>
            </w:r>
            <w:r>
              <w:rPr>
                <w:rFonts w:hint="eastAsia" w:ascii="Times New Roman" w:hAnsi="Times New Roman" w:eastAsia="楷体" w:cs="Times New Roman"/>
                <w:sz w:val="24"/>
                <w:lang w:bidi="ar"/>
              </w:rPr>
              <w:t>1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sz w:val="24"/>
                <w:lang w:bidi="ar"/>
              </w:rPr>
              <w:t>3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 w:bidi="ar"/>
              </w:rPr>
              <w:t>8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 w:bidi="ar"/>
              </w:rPr>
              <w:t>09.77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″</w:t>
            </w:r>
          </w:p>
        </w:tc>
        <w:tc>
          <w:tcPr>
            <w:tcW w:w="72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01</w:t>
            </w:r>
          </w:p>
        </w:tc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黄</w:t>
            </w:r>
          </w:p>
        </w:tc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灰</w:t>
            </w:r>
          </w:p>
        </w:tc>
        <w:tc>
          <w:tcPr>
            <w:tcW w:w="9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栗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1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污水站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北纬28°4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 w:bidi="ar"/>
              </w:rPr>
              <w:t>5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 w:bidi="ar"/>
              </w:rPr>
              <w:t>34.85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″东经12</w:t>
            </w:r>
            <w:r>
              <w:rPr>
                <w:rFonts w:hint="eastAsia" w:ascii="Times New Roman" w:hAnsi="Times New Roman" w:eastAsia="楷体" w:cs="Times New Roman"/>
                <w:sz w:val="24"/>
                <w:lang w:bidi="ar"/>
              </w:rPr>
              <w:t>1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 w:bidi="ar"/>
              </w:rPr>
              <w:t>38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 w:bidi="ar"/>
              </w:rPr>
              <w:t>00.71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″</w:t>
            </w:r>
          </w:p>
        </w:tc>
        <w:tc>
          <w:tcPr>
            <w:tcW w:w="72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02</w:t>
            </w:r>
          </w:p>
        </w:tc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黄</w:t>
            </w:r>
          </w:p>
        </w:tc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黄</w:t>
            </w:r>
          </w:p>
        </w:tc>
        <w:tc>
          <w:tcPr>
            <w:tcW w:w="9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1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</w:p>
        </w:tc>
        <w:tc>
          <w:tcPr>
            <w:tcW w:w="1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罐区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  <w:lang w:bidi="ar"/>
              </w:rPr>
            </w:pP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北纬28°4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 w:bidi="ar"/>
              </w:rPr>
              <w:t>5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 w:bidi="ar"/>
              </w:rPr>
              <w:t>35.36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″东经12</w:t>
            </w:r>
            <w:r>
              <w:rPr>
                <w:rFonts w:hint="eastAsia" w:ascii="Times New Roman" w:hAnsi="Times New Roman" w:eastAsia="楷体" w:cs="Times New Roman"/>
                <w:sz w:val="24"/>
                <w:lang w:bidi="ar"/>
              </w:rPr>
              <w:t>1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 w:bidi="ar"/>
              </w:rPr>
              <w:t>38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 w:bidi="ar"/>
              </w:rPr>
              <w:t>00.43</w:t>
            </w:r>
            <w:r>
              <w:rPr>
                <w:rFonts w:ascii="Times New Roman" w:hAnsi="Times New Roman" w:eastAsia="楷体" w:cs="Times New Roman"/>
                <w:sz w:val="24"/>
                <w:lang w:bidi="ar"/>
              </w:rPr>
              <w:t>″</w:t>
            </w:r>
          </w:p>
        </w:tc>
        <w:tc>
          <w:tcPr>
            <w:tcW w:w="72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0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3</w:t>
            </w:r>
          </w:p>
        </w:tc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黄</w:t>
            </w:r>
          </w:p>
        </w:tc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黄</w:t>
            </w:r>
          </w:p>
        </w:tc>
        <w:tc>
          <w:tcPr>
            <w:tcW w:w="9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t>灰</w:t>
            </w:r>
          </w:p>
        </w:tc>
      </w:tr>
      <w:bookmarkEnd w:id="1"/>
    </w:tbl>
    <w:p>
      <w:pPr>
        <w:widowControl/>
        <w:spacing w:line="400" w:lineRule="exact"/>
        <w:ind w:left="-281" w:leftChars="-134"/>
        <w:textAlignment w:val="top"/>
        <w:rPr>
          <w:rFonts w:ascii="Times New Roman" w:hAnsi="Times New Roman" w:eastAsia="楷体" w:cs="Times New Roman"/>
          <w:bCs/>
          <w:sz w:val="24"/>
          <w:szCs w:val="32"/>
        </w:rPr>
      </w:pPr>
      <w:r>
        <w:rPr>
          <w:rFonts w:hint="eastAsia" w:ascii="Times New Roman" w:hAnsi="Times New Roman" w:eastAsia="楷体" w:cs="Times New Roman"/>
          <w:bCs/>
          <w:sz w:val="24"/>
          <w:szCs w:val="32"/>
        </w:rPr>
        <w:t>1.4</w:t>
      </w:r>
      <w:r>
        <w:rPr>
          <w:rFonts w:ascii="Times New Roman" w:hAnsi="Times New Roman" w:eastAsia="楷体" w:cs="Times New Roman"/>
          <w:bCs/>
          <w:sz w:val="24"/>
          <w:szCs w:val="32"/>
        </w:rPr>
        <w:t>评价标准：《土壤环境质量 建设用地土壤污染风险管控标准》（GB 36600-2018）第二类用地，</w:t>
      </w:r>
      <w:r>
        <w:rPr>
          <w:rFonts w:ascii="Times New Roman" w:hAnsi="Times New Roman" w:eastAsia="楷体" w:cs="Times New Roman"/>
          <w:sz w:val="24"/>
        </w:rPr>
        <w:t>《</w:t>
      </w:r>
      <w:r>
        <w:rPr>
          <w:rFonts w:ascii="Times New Roman" w:hAnsi="Times New Roman" w:eastAsia="楷体" w:cs="Times New Roman"/>
          <w:bCs/>
          <w:sz w:val="24"/>
        </w:rPr>
        <w:t>地下水质量标准</w:t>
      </w:r>
      <w:r>
        <w:rPr>
          <w:rFonts w:ascii="Times New Roman" w:hAnsi="Times New Roman" w:eastAsia="楷体" w:cs="Times New Roman"/>
          <w:sz w:val="24"/>
        </w:rPr>
        <w:t>》（GB 14848-2017）</w:t>
      </w:r>
      <w:r>
        <w:rPr>
          <w:rFonts w:ascii="Times New Roman" w:hAnsi="Times New Roman" w:eastAsia="楷体" w:cs="Times New Roman"/>
          <w:bCs/>
          <w:sz w:val="24"/>
          <w:szCs w:val="32"/>
        </w:rPr>
        <w:t>，具体详见下表：</w:t>
      </w:r>
    </w:p>
    <w:p>
      <w:pPr>
        <w:snapToGrid w:val="0"/>
        <w:spacing w:line="273" w:lineRule="auto"/>
        <w:rPr>
          <w:rFonts w:ascii="Times New Roman" w:hAnsi="Times New Roman" w:eastAsia="楷体" w:cs="Times New Roman"/>
          <w:sz w:val="24"/>
        </w:rPr>
      </w:pPr>
      <w:r>
        <w:rPr>
          <w:rFonts w:ascii="楷体" w:hAnsi="楷体" w:eastAsia="楷体"/>
          <w:sz w:val="24"/>
        </w:rPr>
        <w:t>表</w:t>
      </w:r>
      <w:r>
        <w:rPr>
          <w:rFonts w:ascii="Times New Roman" w:hAnsi="Times New Roman" w:eastAsia="楷体"/>
          <w:sz w:val="24"/>
        </w:rPr>
        <w:t xml:space="preserve">1 </w:t>
      </w:r>
      <w:r>
        <w:rPr>
          <w:rFonts w:ascii="楷体" w:hAnsi="楷体" w:eastAsia="楷体"/>
          <w:sz w:val="24"/>
        </w:rPr>
        <w:t>土壤环境质量 建设用地土壤污染风险管控标准（</w:t>
      </w:r>
      <w:r>
        <w:rPr>
          <w:rFonts w:ascii="Times New Roman" w:hAnsi="Times New Roman" w:eastAsia="楷体"/>
          <w:sz w:val="24"/>
        </w:rPr>
        <w:t>GB 36600-2018</w:t>
      </w:r>
      <w:r>
        <w:rPr>
          <w:rFonts w:ascii="楷体" w:hAnsi="楷体" w:eastAsia="楷体"/>
          <w:sz w:val="24"/>
        </w:rPr>
        <w:t xml:space="preserve">） </w:t>
      </w:r>
      <w:r>
        <w:rPr>
          <w:rFonts w:ascii="楷体" w:hAnsi="楷体" w:eastAsia="楷体"/>
          <w:kern w:val="0"/>
          <w:sz w:val="24"/>
        </w:rPr>
        <w:t>单位：</w:t>
      </w:r>
      <w:r>
        <w:rPr>
          <w:rFonts w:ascii="Times New Roman" w:hAnsi="Times New Roman" w:eastAsia="楷体"/>
          <w:kern w:val="0"/>
          <w:sz w:val="24"/>
        </w:rPr>
        <w:t xml:space="preserve">mg/kg </w:t>
      </w:r>
      <w:r>
        <w:rPr>
          <w:rFonts w:hint="eastAsia" w:ascii="Times New Roman" w:hAnsi="Times New Roman" w:eastAsia="楷体"/>
          <w:kern w:val="0"/>
          <w:sz w:val="24"/>
        </w:rPr>
        <w:t xml:space="preserve">                                  </w:t>
      </w:r>
    </w:p>
    <w:tbl>
      <w:tblPr>
        <w:tblStyle w:val="7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5"/>
        <w:gridCol w:w="2507"/>
        <w:gridCol w:w="1916"/>
        <w:gridCol w:w="1113"/>
        <w:gridCol w:w="1124"/>
        <w:gridCol w:w="1112"/>
        <w:gridCol w:w="112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/>
                <w:b/>
                <w:bCs/>
                <w:szCs w:val="21"/>
              </w:rPr>
            </w:pPr>
            <w:r>
              <w:rPr>
                <w:rFonts w:ascii="Times New Roman" w:hAnsi="Times New Roman" w:eastAsia="楷体"/>
                <w:b/>
                <w:bCs/>
              </w:rPr>
              <w:t>序号</w:t>
            </w:r>
          </w:p>
        </w:tc>
        <w:tc>
          <w:tcPr>
            <w:tcW w:w="25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/>
                <w:b/>
                <w:bCs/>
              </w:rPr>
            </w:pPr>
            <w:r>
              <w:rPr>
                <w:rFonts w:ascii="Times New Roman" w:hAnsi="Times New Roman" w:eastAsia="楷体"/>
                <w:b/>
                <w:bCs/>
              </w:rPr>
              <w:t>污染物项目</w:t>
            </w:r>
          </w:p>
        </w:tc>
        <w:tc>
          <w:tcPr>
            <w:tcW w:w="191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textAlignment w:val="center"/>
              <w:rPr>
                <w:rFonts w:ascii="Times New Roman" w:hAnsi="Times New Roman" w:eastAsia="楷体"/>
                <w:b/>
                <w:bCs/>
              </w:rPr>
            </w:pPr>
            <w:r>
              <w:rPr>
                <w:rFonts w:ascii="Times New Roman" w:hAnsi="Times New Roman" w:eastAsia="楷体"/>
                <w:b/>
                <w:bCs/>
              </w:rPr>
              <w:t>CAS</w:t>
            </w:r>
            <w:r>
              <w:rPr>
                <w:rFonts w:ascii="楷体" w:hAnsi="楷体" w:eastAsia="楷体"/>
                <w:b/>
                <w:bCs/>
              </w:rPr>
              <w:t>编号</w:t>
            </w:r>
          </w:p>
        </w:tc>
        <w:tc>
          <w:tcPr>
            <w:tcW w:w="223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textAlignment w:val="center"/>
              <w:rPr>
                <w:rFonts w:ascii="Times New Roman" w:hAnsi="Times New Roman" w:eastAsia="楷体"/>
                <w:b/>
                <w:bCs/>
              </w:rPr>
            </w:pPr>
            <w:r>
              <w:rPr>
                <w:rFonts w:ascii="Times New Roman" w:hAnsi="Times New Roman" w:eastAsia="楷体"/>
                <w:b/>
                <w:bCs/>
              </w:rPr>
              <w:t>筛选值</w:t>
            </w:r>
          </w:p>
        </w:tc>
        <w:tc>
          <w:tcPr>
            <w:tcW w:w="224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textAlignment w:val="center"/>
              <w:rPr>
                <w:rFonts w:ascii="Times New Roman" w:hAnsi="Times New Roman" w:eastAsia="楷体"/>
                <w:b/>
                <w:bCs/>
              </w:rPr>
            </w:pPr>
            <w:r>
              <w:rPr>
                <w:rFonts w:ascii="Times New Roman" w:hAnsi="Times New Roman" w:eastAsia="楷体"/>
                <w:b/>
                <w:bCs/>
              </w:rPr>
              <w:t>管制值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 w:eastAsia="楷体"/>
                <w:b/>
                <w:bCs/>
                <w:szCs w:val="21"/>
              </w:rPr>
            </w:pPr>
          </w:p>
        </w:tc>
        <w:tc>
          <w:tcPr>
            <w:tcW w:w="25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 w:eastAsia="楷体"/>
                <w:b/>
                <w:bCs/>
                <w:szCs w:val="21"/>
              </w:rPr>
            </w:pPr>
          </w:p>
        </w:tc>
        <w:tc>
          <w:tcPr>
            <w:tcW w:w="191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 w:eastAsia="楷体"/>
                <w:b/>
                <w:bCs/>
                <w:szCs w:val="21"/>
              </w:rPr>
            </w:pP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ascii="Times New Roman" w:hAnsi="Times New Roman" w:eastAsia="楷体"/>
                <w:b/>
                <w:bCs/>
                <w:kern w:val="0"/>
              </w:rPr>
            </w:pPr>
            <w:r>
              <w:rPr>
                <w:rFonts w:ascii="Times New Roman" w:hAnsi="Times New Roman" w:eastAsia="楷体"/>
                <w:b/>
                <w:bCs/>
                <w:kern w:val="0"/>
              </w:rPr>
              <w:t>第一类</w:t>
            </w:r>
          </w:p>
          <w:p>
            <w:pPr>
              <w:jc w:val="center"/>
              <w:textAlignment w:val="center"/>
              <w:rPr>
                <w:rFonts w:ascii="Times New Roman" w:hAnsi="Times New Roman" w:eastAsia="楷体"/>
                <w:b/>
                <w:bCs/>
              </w:rPr>
            </w:pPr>
            <w:r>
              <w:rPr>
                <w:rFonts w:ascii="Times New Roman" w:hAnsi="Times New Roman" w:eastAsia="楷体"/>
                <w:b/>
                <w:bCs/>
                <w:kern w:val="0"/>
              </w:rPr>
              <w:t>用地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ascii="Times New Roman" w:hAnsi="Times New Roman" w:eastAsia="楷体"/>
                <w:b/>
                <w:bCs/>
                <w:kern w:val="0"/>
              </w:rPr>
            </w:pPr>
            <w:r>
              <w:rPr>
                <w:rFonts w:ascii="Times New Roman" w:hAnsi="Times New Roman" w:eastAsia="楷体"/>
                <w:b/>
                <w:bCs/>
                <w:kern w:val="0"/>
              </w:rPr>
              <w:t>第二类</w:t>
            </w:r>
          </w:p>
          <w:p>
            <w:pPr>
              <w:jc w:val="center"/>
              <w:textAlignment w:val="center"/>
              <w:rPr>
                <w:rFonts w:ascii="Times New Roman" w:hAnsi="Times New Roman" w:eastAsia="楷体"/>
                <w:b/>
                <w:bCs/>
                <w:kern w:val="0"/>
              </w:rPr>
            </w:pPr>
            <w:r>
              <w:rPr>
                <w:rFonts w:ascii="Times New Roman" w:hAnsi="Times New Roman" w:eastAsia="楷体"/>
                <w:b/>
                <w:bCs/>
                <w:kern w:val="0"/>
              </w:rPr>
              <w:t>用地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ascii="Times New Roman" w:hAnsi="Times New Roman" w:eastAsia="楷体"/>
                <w:b/>
                <w:bCs/>
                <w:kern w:val="0"/>
              </w:rPr>
            </w:pPr>
            <w:r>
              <w:rPr>
                <w:rFonts w:ascii="Times New Roman" w:hAnsi="Times New Roman" w:eastAsia="楷体"/>
                <w:b/>
                <w:bCs/>
                <w:kern w:val="0"/>
              </w:rPr>
              <w:t>第一类</w:t>
            </w:r>
          </w:p>
          <w:p>
            <w:pPr>
              <w:jc w:val="center"/>
              <w:textAlignment w:val="center"/>
              <w:rPr>
                <w:rFonts w:ascii="Times New Roman" w:hAnsi="Times New Roman" w:eastAsia="楷体"/>
                <w:b/>
                <w:bCs/>
              </w:rPr>
            </w:pPr>
            <w:r>
              <w:rPr>
                <w:rFonts w:ascii="Times New Roman" w:hAnsi="Times New Roman" w:eastAsia="楷体"/>
                <w:b/>
                <w:bCs/>
                <w:kern w:val="0"/>
              </w:rPr>
              <w:t>用地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ascii="Times New Roman" w:hAnsi="Times New Roman" w:eastAsia="楷体"/>
                <w:b/>
                <w:bCs/>
                <w:kern w:val="0"/>
              </w:rPr>
            </w:pPr>
            <w:r>
              <w:rPr>
                <w:rFonts w:ascii="Times New Roman" w:hAnsi="Times New Roman" w:eastAsia="楷体"/>
                <w:b/>
                <w:bCs/>
                <w:kern w:val="0"/>
              </w:rPr>
              <w:t>第二类</w:t>
            </w:r>
          </w:p>
          <w:p>
            <w:pPr>
              <w:jc w:val="center"/>
              <w:textAlignment w:val="center"/>
              <w:rPr>
                <w:rFonts w:ascii="Times New Roman" w:hAnsi="Times New Roman" w:eastAsia="楷体"/>
                <w:b/>
                <w:bCs/>
                <w:kern w:val="0"/>
              </w:rPr>
            </w:pPr>
            <w:r>
              <w:rPr>
                <w:rFonts w:ascii="Times New Roman" w:hAnsi="Times New Roman" w:eastAsia="楷体"/>
                <w:b/>
                <w:bCs/>
                <w:kern w:val="0"/>
              </w:rPr>
              <w:t>用地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0035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textAlignment w:val="center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重金属和无机物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7440-38-2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镉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7440-43-9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47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172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铬（六价）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18540-29-9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3.0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5.7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铜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7440-50-8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2000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18000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8000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36000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铅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7439-92-1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400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800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800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2500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汞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7439-97-6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8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38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33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82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镍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7440-02-0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900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0035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挥发性有机物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8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四氯化碳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56-23-5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0.9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2.8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9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9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氯仿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67-66-3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0.3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0.9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氯甲烷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74-87-3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37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21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11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1,1-</w:t>
            </w:r>
            <w:r>
              <w:rPr>
                <w:rFonts w:ascii="楷体" w:hAnsi="楷体" w:eastAsia="楷体"/>
                <w:kern w:val="0"/>
              </w:rPr>
              <w:t>二氯乙烷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75-34-3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9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1,2-</w:t>
            </w:r>
            <w:r>
              <w:rPr>
                <w:rFonts w:ascii="楷体" w:hAnsi="楷体" w:eastAsia="楷体"/>
                <w:kern w:val="0"/>
              </w:rPr>
              <w:t>二氯乙烷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107-06-2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0.52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13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1,1-</w:t>
            </w:r>
            <w:r>
              <w:rPr>
                <w:rFonts w:ascii="楷体" w:hAnsi="楷体" w:eastAsia="楷体"/>
                <w:kern w:val="0"/>
              </w:rPr>
              <w:t>二氯乙烯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75-35-4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66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14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顺-1,2-</w:t>
            </w:r>
            <w:r>
              <w:rPr>
                <w:rFonts w:ascii="楷体" w:hAnsi="楷体" w:eastAsia="楷体"/>
                <w:kern w:val="0"/>
              </w:rPr>
              <w:t>二氯乙烯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156-59-2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66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596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反-1,2-</w:t>
            </w:r>
            <w:r>
              <w:rPr>
                <w:rFonts w:ascii="楷体" w:hAnsi="楷体" w:eastAsia="楷体"/>
                <w:kern w:val="0"/>
              </w:rPr>
              <w:t>二氯乙烯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156-60-5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54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31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163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16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二氯甲烷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75-09-2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94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616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17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1,2-</w:t>
            </w:r>
            <w:r>
              <w:rPr>
                <w:rFonts w:ascii="楷体" w:hAnsi="楷体" w:eastAsia="楷体"/>
                <w:kern w:val="0"/>
              </w:rPr>
              <w:t>二氯丙烷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78-87-5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18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1,1,1,2-</w:t>
            </w:r>
            <w:r>
              <w:rPr>
                <w:rFonts w:ascii="楷体" w:hAnsi="楷体" w:eastAsia="楷体"/>
                <w:kern w:val="0"/>
              </w:rPr>
              <w:t>四氯乙烷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630-20-6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2.6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26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19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1,1,2,2-</w:t>
            </w:r>
            <w:r>
              <w:rPr>
                <w:rFonts w:ascii="楷体" w:hAnsi="楷体" w:eastAsia="楷体"/>
                <w:kern w:val="0"/>
              </w:rPr>
              <w:t>四氯乙烷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79-34-5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1.6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6.8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14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四氯乙烯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127-18-4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11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53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34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183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21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1,1,1-</w:t>
            </w:r>
            <w:r>
              <w:rPr>
                <w:rFonts w:ascii="楷体" w:hAnsi="楷体" w:eastAsia="楷体"/>
                <w:kern w:val="0"/>
              </w:rPr>
              <w:t>三氯乙烷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71-55-6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701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840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840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840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22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1,1,2-</w:t>
            </w:r>
            <w:r>
              <w:rPr>
                <w:rFonts w:ascii="楷体" w:hAnsi="楷体" w:eastAsia="楷体"/>
                <w:kern w:val="0"/>
              </w:rPr>
              <w:t>三氯乙烷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79-00-5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0.6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2.8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23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三氯乙烯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79-01-6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0.7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2.8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24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1,2,3-</w:t>
            </w:r>
            <w:r>
              <w:rPr>
                <w:rFonts w:ascii="楷体" w:hAnsi="楷体" w:eastAsia="楷体"/>
                <w:kern w:val="0"/>
              </w:rPr>
              <w:t>三氯丙烷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76-18-4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0.05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0.5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0.5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25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75-01-4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0.12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0.43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1.2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26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71-43-2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27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氯苯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108-90-7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68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270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28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1,2-</w:t>
            </w:r>
            <w:r>
              <w:rPr>
                <w:rFonts w:ascii="楷体" w:hAnsi="楷体" w:eastAsia="楷体"/>
                <w:kern w:val="0"/>
              </w:rPr>
              <w:t>二氯苯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95-50-1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560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560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560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560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29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1,4-</w:t>
            </w:r>
            <w:r>
              <w:rPr>
                <w:rFonts w:ascii="楷体" w:hAnsi="楷体" w:eastAsia="楷体"/>
                <w:kern w:val="0"/>
              </w:rPr>
              <w:t>二氯苯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106-46-7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5.6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56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30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乙苯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100-41-4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7.2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28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72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280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31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100-42-5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1290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1290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1298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1290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32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甲苯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100-88-3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1200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1200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33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间二甲苯+</w:t>
            </w:r>
            <w:r>
              <w:rPr>
                <w:rFonts w:ascii="楷体" w:hAnsi="楷体" w:eastAsia="楷体"/>
                <w:kern w:val="0"/>
              </w:rPr>
              <w:t>对二甲苯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108-38-3/106-42-3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163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570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34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邻二甲苯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95-47-6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222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640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640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0035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半挥发性有机物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35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硝基苯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98-95-3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34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76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190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760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36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苯胺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62-53-3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92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260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211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663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37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2-</w:t>
            </w:r>
            <w:r>
              <w:rPr>
                <w:rFonts w:ascii="楷体" w:hAnsi="楷体" w:eastAsia="楷体"/>
                <w:kern w:val="0"/>
              </w:rPr>
              <w:t>氯酚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95-57-8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250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2256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4500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38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苯并(a)</w:t>
            </w:r>
            <w:r>
              <w:rPr>
                <w:rFonts w:ascii="楷体" w:hAnsi="楷体" w:eastAsia="楷体"/>
                <w:kern w:val="0"/>
              </w:rPr>
              <w:t>蒽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56-55-3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5.5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39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苯并(a)</w:t>
            </w:r>
            <w:r>
              <w:rPr>
                <w:rFonts w:ascii="楷体" w:hAnsi="楷体" w:eastAsia="楷体"/>
                <w:kern w:val="0"/>
              </w:rPr>
              <w:t>芘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50-32-8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0.55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1.5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5.5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40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苯并(b)</w:t>
            </w:r>
            <w:r>
              <w:rPr>
                <w:rFonts w:ascii="楷体" w:hAnsi="楷体" w:eastAsia="楷体"/>
                <w:kern w:val="0"/>
              </w:rPr>
              <w:t>荧蒽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205-99-2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5.5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41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苯并(k)</w:t>
            </w:r>
            <w:r>
              <w:rPr>
                <w:rFonts w:ascii="楷体" w:hAnsi="楷体" w:eastAsia="楷体"/>
                <w:kern w:val="0"/>
              </w:rPr>
              <w:t>荧蒽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207-08-9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151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550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42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䓛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218-01-9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490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1293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4900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12900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43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二苯并(a,h)</w:t>
            </w:r>
            <w:r>
              <w:rPr>
                <w:rFonts w:ascii="楷体" w:hAnsi="楷体" w:eastAsia="楷体"/>
                <w:kern w:val="0"/>
              </w:rPr>
              <w:t>蒽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53-70-3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0.55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1.5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5.5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44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茚并(1,2,3-cd)</w:t>
            </w:r>
            <w:r>
              <w:rPr>
                <w:rFonts w:ascii="楷体" w:hAnsi="楷体" w:eastAsia="楷体"/>
                <w:kern w:val="0"/>
              </w:rPr>
              <w:t>芘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193-39-5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5.5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55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151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45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/>
              </w:rPr>
            </w:pPr>
            <w:r>
              <w:rPr>
                <w:rFonts w:ascii="Times New Roman" w:hAnsi="Times New Roman" w:eastAsia="楷体"/>
                <w:kern w:val="0"/>
              </w:rPr>
              <w:t>萘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ascii="Times New Roman" w:hAnsi="Times New Roman" w:eastAsia="楷体"/>
              </w:rPr>
              <w:t>91-20-3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ascii="Times New Roman" w:hAnsi="Times New Roman" w:eastAsia="楷体"/>
              </w:rPr>
              <w:t>25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ascii="Times New Roman" w:hAnsi="Times New Roman" w:eastAsia="楷体"/>
              </w:rPr>
              <w:t>70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ascii="Times New Roman" w:hAnsi="Times New Roman" w:eastAsia="楷体"/>
              </w:rPr>
              <w:t>255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ascii="Times New Roman" w:hAnsi="Times New Roman" w:eastAsia="楷体"/>
              </w:rPr>
              <w:t>700</w:t>
            </w:r>
          </w:p>
        </w:tc>
      </w:tr>
    </w:tbl>
    <w:p>
      <w:pPr>
        <w:adjustRightInd w:val="0"/>
        <w:snapToGrid w:val="0"/>
        <w:spacing w:before="156" w:beforeLines="50"/>
        <w:jc w:val="center"/>
        <w:rPr>
          <w:rFonts w:ascii="Times New Roman" w:hAnsi="Times New Roman" w:eastAsia="楷体" w:cs="Times New Roman"/>
          <w:kern w:val="0"/>
          <w:sz w:val="24"/>
        </w:rPr>
      </w:pPr>
      <w:r>
        <w:rPr>
          <w:rFonts w:ascii="Times New Roman" w:hAnsi="Times New Roman" w:eastAsia="楷体" w:cs="Times New Roman"/>
          <w:sz w:val="24"/>
        </w:rPr>
        <w:t>表</w:t>
      </w:r>
      <w:r>
        <w:rPr>
          <w:rFonts w:hint="eastAsia" w:ascii="Times New Roman" w:hAnsi="Times New Roman" w:eastAsia="楷体" w:cs="Times New Roman"/>
          <w:sz w:val="24"/>
        </w:rPr>
        <w:t>2</w:t>
      </w:r>
      <w:r>
        <w:rPr>
          <w:rFonts w:ascii="Times New Roman" w:hAnsi="Times New Roman" w:eastAsia="楷体" w:cs="Times New Roman"/>
          <w:sz w:val="24"/>
        </w:rPr>
        <w:t xml:space="preserve"> 地</w:t>
      </w:r>
      <w:r>
        <w:rPr>
          <w:rFonts w:hint="eastAsia" w:ascii="楷体" w:hAnsi="楷体" w:eastAsia="楷体"/>
          <w:sz w:val="24"/>
        </w:rPr>
        <w:t>下水质量标准（</w:t>
      </w:r>
      <w:r>
        <w:rPr>
          <w:rFonts w:ascii="Times New Roman" w:hAnsi="Times New Roman" w:eastAsia="楷体"/>
          <w:sz w:val="24"/>
        </w:rPr>
        <w:t xml:space="preserve">GB </w:t>
      </w:r>
      <w:r>
        <w:rPr>
          <w:rFonts w:hint="eastAsia" w:ascii="Times New Roman" w:hAnsi="Times New Roman" w:eastAsia="楷体"/>
          <w:sz w:val="24"/>
        </w:rPr>
        <w:t>14848</w:t>
      </w:r>
      <w:r>
        <w:rPr>
          <w:rFonts w:ascii="Times New Roman" w:hAnsi="Times New Roman" w:eastAsia="楷体"/>
          <w:sz w:val="24"/>
        </w:rPr>
        <w:t>-20</w:t>
      </w:r>
      <w:r>
        <w:rPr>
          <w:rFonts w:hint="eastAsia" w:ascii="Times New Roman" w:hAnsi="Times New Roman" w:eastAsia="楷体"/>
          <w:sz w:val="24"/>
        </w:rPr>
        <w:t>17</w:t>
      </w:r>
      <w:r>
        <w:rPr>
          <w:rFonts w:hint="eastAsia" w:ascii="楷体" w:hAnsi="楷体" w:eastAsia="楷体"/>
          <w:sz w:val="24"/>
        </w:rPr>
        <w:t>）</w:t>
      </w:r>
    </w:p>
    <w:tbl>
      <w:tblPr>
        <w:tblStyle w:val="7"/>
        <w:tblW w:w="1003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2468"/>
        <w:gridCol w:w="1176"/>
        <w:gridCol w:w="10"/>
        <w:gridCol w:w="1166"/>
        <w:gridCol w:w="65"/>
        <w:gridCol w:w="1112"/>
        <w:gridCol w:w="1952"/>
        <w:gridCol w:w="135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0036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  <w:szCs w:val="21"/>
              </w:rPr>
            </w:pPr>
            <w:r>
              <w:rPr>
                <w:rFonts w:hint="eastAsia" w:ascii="Times New Roman" w:hAnsi="Times New Roman" w:eastAsia="楷体"/>
              </w:rPr>
              <w:t>感官性状及一般理化指标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序号</w:t>
            </w:r>
          </w:p>
        </w:tc>
        <w:tc>
          <w:tcPr>
            <w:tcW w:w="24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检测项目</w:t>
            </w:r>
          </w:p>
        </w:tc>
        <w:tc>
          <w:tcPr>
            <w:tcW w:w="11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</w:rPr>
            </w:pPr>
            <w:bookmarkStart w:id="2" w:name="OLE_LINK2"/>
            <w:r>
              <w:rPr>
                <w:rFonts w:hint="eastAsia" w:ascii="宋体" w:hAnsi="宋体" w:eastAsia="宋体" w:cs="宋体"/>
              </w:rPr>
              <w:t>Ⅰ</w:t>
            </w:r>
            <w:bookmarkEnd w:id="2"/>
            <w:r>
              <w:rPr>
                <w:rFonts w:ascii="楷体" w:hAnsi="楷体" w:eastAsia="楷体"/>
              </w:rPr>
              <w:t>类</w:t>
            </w:r>
          </w:p>
        </w:tc>
        <w:tc>
          <w:tcPr>
            <w:tcW w:w="123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宋体" w:hAnsi="宋体" w:eastAsia="宋体" w:cs="宋体"/>
              </w:rPr>
              <w:t>Ⅱ</w:t>
            </w:r>
            <w:r>
              <w:rPr>
                <w:rFonts w:ascii="楷体" w:hAnsi="楷体" w:eastAsia="楷体"/>
              </w:rPr>
              <w:t>类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宋体" w:hAnsi="宋体" w:eastAsia="宋体" w:cs="宋体"/>
              </w:rPr>
              <w:t>Ⅲ</w:t>
            </w:r>
            <w:r>
              <w:rPr>
                <w:rFonts w:ascii="楷体" w:hAnsi="楷体" w:eastAsia="楷体"/>
              </w:rPr>
              <w:t>类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宋体" w:hAnsi="宋体" w:eastAsia="宋体" w:cs="宋体"/>
              </w:rPr>
              <w:t>Ⅳ</w:t>
            </w:r>
            <w:r>
              <w:rPr>
                <w:rFonts w:ascii="楷体" w:hAnsi="楷体" w:eastAsia="楷体"/>
              </w:rPr>
              <w:t>类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宋体" w:hAnsi="宋体" w:eastAsia="宋体" w:cs="宋体"/>
              </w:rPr>
              <w:t>Ⅴ</w:t>
            </w:r>
            <w:r>
              <w:rPr>
                <w:rFonts w:ascii="楷体" w:hAnsi="楷体" w:eastAsia="楷体"/>
              </w:rPr>
              <w:t>类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pStyle w:val="25"/>
              <w:numPr>
                <w:ilvl w:val="0"/>
                <w:numId w:val="2"/>
              </w:numPr>
              <w:ind w:firstLineChars="0"/>
              <w:jc w:val="center"/>
              <w:rPr>
                <w:rFonts w:ascii="Times New Roman" w:hAnsi="Times New Roman" w:eastAsia="楷体"/>
                <w:kern w:val="0"/>
              </w:rPr>
            </w:pPr>
          </w:p>
        </w:tc>
        <w:tc>
          <w:tcPr>
            <w:tcW w:w="24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pH</w:t>
            </w:r>
            <w:r>
              <w:rPr>
                <w:rFonts w:ascii="楷体" w:hAnsi="楷体" w:eastAsia="楷体"/>
                <w:kern w:val="0"/>
              </w:rPr>
              <w:t>值</w:t>
            </w:r>
          </w:p>
        </w:tc>
        <w:tc>
          <w:tcPr>
            <w:tcW w:w="3529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ascii="Times New Roman" w:hAnsi="Times New Roman" w:eastAsia="楷体"/>
              </w:rPr>
              <w:t>6.5</w:t>
            </w:r>
            <w:bookmarkStart w:id="3" w:name="OLE_LINK9"/>
            <w:r>
              <w:rPr>
                <w:rFonts w:hint="eastAsia" w:ascii="楷体" w:hAnsi="楷体" w:eastAsia="楷体"/>
              </w:rPr>
              <w:t>≤</w:t>
            </w:r>
            <w:bookmarkEnd w:id="3"/>
            <w:r>
              <w:rPr>
                <w:rFonts w:ascii="Times New Roman" w:hAnsi="Times New Roman" w:eastAsia="楷体"/>
                <w:kern w:val="0"/>
              </w:rPr>
              <w:t>pH</w:t>
            </w:r>
            <w:r>
              <w:rPr>
                <w:rFonts w:hint="eastAsia" w:ascii="楷体" w:hAnsi="楷体" w:eastAsia="楷体"/>
              </w:rPr>
              <w:t>≤</w:t>
            </w:r>
            <w:r>
              <w:rPr>
                <w:rFonts w:ascii="Times New Roman" w:hAnsi="Times New Roman" w:eastAsia="楷体"/>
              </w:rPr>
              <w:t>8.5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ascii="Times New Roman" w:hAnsi="Times New Roman" w:eastAsia="楷体"/>
              </w:rPr>
              <w:t>5.5</w:t>
            </w:r>
            <w:r>
              <w:rPr>
                <w:rFonts w:hint="eastAsia" w:ascii="楷体" w:hAnsi="楷体" w:eastAsia="楷体"/>
              </w:rPr>
              <w:t>≤</w:t>
            </w:r>
            <w:r>
              <w:rPr>
                <w:rFonts w:ascii="Times New Roman" w:hAnsi="Times New Roman" w:eastAsia="楷体"/>
                <w:kern w:val="0"/>
              </w:rPr>
              <w:t>pH</w:t>
            </w:r>
            <w:r>
              <w:rPr>
                <w:rFonts w:ascii="楷体" w:hAnsi="楷体" w:eastAsia="楷体"/>
                <w:kern w:val="0"/>
              </w:rPr>
              <w:t>＜</w:t>
            </w:r>
            <w:r>
              <w:rPr>
                <w:rFonts w:ascii="Times New Roman" w:hAnsi="Times New Roman" w:eastAsia="楷体"/>
              </w:rPr>
              <w:t>6.5</w:t>
            </w:r>
            <w:r>
              <w:rPr>
                <w:rFonts w:ascii="楷体" w:hAnsi="楷体" w:eastAsia="楷体"/>
              </w:rPr>
              <w:t>或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ascii="Times New Roman" w:hAnsi="Times New Roman" w:eastAsia="楷体"/>
              </w:rPr>
              <w:t>8.5</w:t>
            </w:r>
            <w:r>
              <w:rPr>
                <w:rFonts w:ascii="Times New Roman" w:hAnsi="Times New Roman" w:eastAsia="楷体"/>
                <w:kern w:val="0"/>
              </w:rPr>
              <w:t>＜pH</w:t>
            </w:r>
            <w:r>
              <w:rPr>
                <w:rFonts w:hint="eastAsia" w:ascii="楷体" w:hAnsi="楷体" w:eastAsia="楷体"/>
              </w:rPr>
              <w:t>≤</w:t>
            </w:r>
            <w:r>
              <w:rPr>
                <w:rFonts w:ascii="Times New Roman" w:hAnsi="Times New Roman" w:eastAsia="楷体"/>
              </w:rPr>
              <w:t>9.0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ascii="Times New Roman" w:hAnsi="Times New Roman" w:eastAsia="楷体"/>
                <w:kern w:val="0"/>
              </w:rPr>
              <w:t>pH</w:t>
            </w:r>
            <w:r>
              <w:rPr>
                <w:rFonts w:ascii="楷体" w:hAnsi="楷体" w:eastAsia="楷体"/>
                <w:kern w:val="0"/>
              </w:rPr>
              <w:t>＜</w:t>
            </w:r>
            <w:r>
              <w:rPr>
                <w:rFonts w:ascii="Times New Roman" w:hAnsi="Times New Roman" w:eastAsia="楷体"/>
                <w:kern w:val="0"/>
              </w:rPr>
              <w:t>5</w:t>
            </w:r>
            <w:r>
              <w:rPr>
                <w:rFonts w:ascii="Times New Roman" w:hAnsi="Times New Roman" w:eastAsia="楷体"/>
              </w:rPr>
              <w:t>.5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</w:rPr>
              <w:t>或</w:t>
            </w:r>
            <w:r>
              <w:rPr>
                <w:rFonts w:ascii="Times New Roman" w:hAnsi="Times New Roman" w:eastAsia="楷体"/>
                <w:kern w:val="0"/>
              </w:rPr>
              <w:t>pH</w:t>
            </w:r>
            <w:r>
              <w:rPr>
                <w:rFonts w:ascii="楷体" w:hAnsi="楷体" w:eastAsia="楷体"/>
                <w:kern w:val="0"/>
              </w:rPr>
              <w:t>＞</w:t>
            </w:r>
            <w:r>
              <w:rPr>
                <w:rFonts w:ascii="Times New Roman" w:hAnsi="Times New Roman" w:eastAsia="楷体"/>
                <w:kern w:val="0"/>
              </w:rPr>
              <w:t>9.0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pStyle w:val="25"/>
              <w:numPr>
                <w:ilvl w:val="0"/>
                <w:numId w:val="2"/>
              </w:numPr>
              <w:ind w:firstLineChars="0"/>
              <w:jc w:val="center"/>
              <w:rPr>
                <w:rFonts w:ascii="Times New Roman" w:hAnsi="Times New Roman" w:eastAsia="楷体"/>
                <w:kern w:val="0"/>
              </w:rPr>
            </w:pPr>
          </w:p>
        </w:tc>
        <w:tc>
          <w:tcPr>
            <w:tcW w:w="246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铜/（mg/L）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szCs w:val="21"/>
              </w:rPr>
              <w:t>0.01</w:t>
            </w:r>
          </w:p>
        </w:tc>
        <w:tc>
          <w:tcPr>
            <w:tcW w:w="11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szCs w:val="21"/>
              </w:rPr>
              <w:t>0.05</w:t>
            </w:r>
          </w:p>
        </w:tc>
        <w:tc>
          <w:tcPr>
            <w:tcW w:w="117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szCs w:val="21"/>
              </w:rPr>
              <w:t>0.10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szCs w:val="21"/>
              </w:rPr>
              <w:t>1.50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＞</w:t>
            </w:r>
            <w:r>
              <w:rPr>
                <w:rFonts w:ascii="Times New Roman" w:hAnsi="Times New Roman" w:eastAsia="楷体" w:cs="Times New Roman"/>
                <w:szCs w:val="21"/>
              </w:rPr>
              <w:t>1.50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pStyle w:val="25"/>
              <w:numPr>
                <w:ilvl w:val="0"/>
                <w:numId w:val="2"/>
              </w:numPr>
              <w:ind w:firstLineChars="0"/>
              <w:jc w:val="center"/>
              <w:rPr>
                <w:rFonts w:ascii="Times New Roman" w:hAnsi="Times New Roman" w:eastAsia="楷体"/>
                <w:kern w:val="0"/>
              </w:rPr>
            </w:pPr>
          </w:p>
        </w:tc>
        <w:tc>
          <w:tcPr>
            <w:tcW w:w="246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eastAsia="zh-CN" w:bidi="ar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eastAsia="zh-CN" w:bidi="ar"/>
              </w:rPr>
              <w:t>挥发酚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0.001</w:t>
            </w:r>
          </w:p>
        </w:tc>
        <w:tc>
          <w:tcPr>
            <w:tcW w:w="11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0.001</w:t>
            </w:r>
          </w:p>
        </w:tc>
        <w:tc>
          <w:tcPr>
            <w:tcW w:w="117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0.002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0.01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＞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0.01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pStyle w:val="25"/>
              <w:numPr>
                <w:ilvl w:val="0"/>
                <w:numId w:val="2"/>
              </w:numPr>
              <w:ind w:firstLineChars="0"/>
              <w:jc w:val="center"/>
              <w:rPr>
                <w:rFonts w:ascii="Times New Roman" w:hAnsi="Times New Roman" w:eastAsia="楷体"/>
                <w:kern w:val="0"/>
              </w:rPr>
            </w:pPr>
          </w:p>
        </w:tc>
        <w:tc>
          <w:tcPr>
            <w:tcW w:w="246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eastAsia="zh-CN" w:bidi="ar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eastAsia="zh-CN" w:bidi="ar"/>
              </w:rPr>
              <w:t>铁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0.1</w:t>
            </w:r>
          </w:p>
        </w:tc>
        <w:tc>
          <w:tcPr>
            <w:tcW w:w="11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0.2</w:t>
            </w:r>
          </w:p>
        </w:tc>
        <w:tc>
          <w:tcPr>
            <w:tcW w:w="117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0.3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2.0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＞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2.0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pStyle w:val="25"/>
              <w:numPr>
                <w:ilvl w:val="0"/>
                <w:numId w:val="2"/>
              </w:numPr>
              <w:ind w:firstLineChars="0"/>
              <w:jc w:val="center"/>
              <w:rPr>
                <w:rFonts w:ascii="Times New Roman" w:hAnsi="Times New Roman" w:eastAsia="楷体"/>
                <w:kern w:val="0"/>
              </w:rPr>
            </w:pPr>
          </w:p>
        </w:tc>
        <w:tc>
          <w:tcPr>
            <w:tcW w:w="246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eastAsia="zh-CN" w:bidi="ar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eastAsia="zh-CN" w:bidi="ar"/>
              </w:rPr>
              <w:t>锌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0.05</w:t>
            </w:r>
          </w:p>
        </w:tc>
        <w:tc>
          <w:tcPr>
            <w:tcW w:w="11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0.5</w:t>
            </w:r>
          </w:p>
        </w:tc>
        <w:tc>
          <w:tcPr>
            <w:tcW w:w="117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1.0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5.00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＞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5.00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0036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kern w:val="0"/>
              </w:rPr>
            </w:pPr>
            <w:r>
              <w:rPr>
                <w:rFonts w:ascii="Times New Roman" w:hAnsi="Times New Roman" w:eastAsia="楷体" w:cs="Times New Roman"/>
                <w:kern w:val="0"/>
              </w:rPr>
              <w:t>毒理学指标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pStyle w:val="25"/>
              <w:numPr>
                <w:ilvl w:val="0"/>
                <w:numId w:val="2"/>
              </w:numPr>
              <w:ind w:firstLineChars="0"/>
              <w:jc w:val="center"/>
              <w:rPr>
                <w:rFonts w:ascii="Times New Roman" w:hAnsi="Times New Roman" w:eastAsia="楷体"/>
                <w:kern w:val="0"/>
              </w:rPr>
            </w:pPr>
          </w:p>
        </w:tc>
        <w:tc>
          <w:tcPr>
            <w:tcW w:w="24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楷体"/>
                <w:kern w:val="0"/>
                <w:lang w:eastAsia="zh-CN"/>
              </w:rPr>
            </w:pPr>
            <w:r>
              <w:rPr>
                <w:rFonts w:hint="eastAsia" w:ascii="Times New Roman" w:hAnsi="Times New Roman" w:eastAsia="楷体"/>
                <w:kern w:val="0"/>
                <w:lang w:eastAsia="zh-CN"/>
              </w:rPr>
              <w:t>氟化物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1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楷体" w:hAnsi="楷体" w:eastAsia="楷体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</w:rPr>
              <w:t>≤</w:t>
            </w:r>
            <w:r>
              <w:rPr>
                <w:rFonts w:hint="default" w:ascii="Times New Roman" w:hAnsi="Times New Roman" w:eastAsia="楷体" w:cs="Times New Roman"/>
                <w:lang w:val="en-US" w:eastAsia="zh-CN"/>
              </w:rPr>
              <w:t>1.0</w:t>
            </w:r>
          </w:p>
        </w:tc>
        <w:tc>
          <w:tcPr>
            <w:tcW w:w="123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楷体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</w:rPr>
              <w:t>≤</w:t>
            </w:r>
            <w:r>
              <w:rPr>
                <w:rFonts w:hint="eastAsia" w:ascii="Times New Roman" w:hAnsi="Times New Roman" w:eastAsia="楷体"/>
                <w:lang w:val="en-US" w:eastAsia="zh-CN"/>
              </w:rPr>
              <w:t>1.0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楷体" w:hAnsi="楷体" w:eastAsia="楷体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</w:rPr>
              <w:t>≤</w:t>
            </w:r>
            <w:r>
              <w:rPr>
                <w:rFonts w:hint="eastAsia" w:ascii="Times New Roman" w:hAnsi="Times New Roman" w:eastAsia="楷体"/>
                <w:lang w:val="en-US" w:eastAsia="zh-CN"/>
              </w:rPr>
              <w:t>1.0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楷体" w:hAnsi="楷体" w:eastAsia="楷体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</w:rPr>
              <w:t>≤</w:t>
            </w:r>
            <w:r>
              <w:rPr>
                <w:rFonts w:hint="eastAsia" w:ascii="Times New Roman" w:hAnsi="Times New Roman" w:eastAsia="楷体"/>
                <w:lang w:val="en-US" w:eastAsia="zh-CN"/>
              </w:rPr>
              <w:t>2.0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楷体" w:cstheme="minorBidi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楷体"/>
                <w:kern w:val="0"/>
              </w:rPr>
              <w:t>＞</w:t>
            </w:r>
            <w:r>
              <w:rPr>
                <w:rFonts w:hint="eastAsia" w:ascii="Times New Roman" w:hAnsi="Times New Roman" w:eastAsia="楷体"/>
                <w:kern w:val="0"/>
                <w:lang w:val="en-US" w:eastAsia="zh-CN"/>
              </w:rPr>
              <w:t>2.0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pStyle w:val="25"/>
              <w:numPr>
                <w:ilvl w:val="0"/>
                <w:numId w:val="2"/>
              </w:numPr>
              <w:ind w:firstLineChars="0"/>
              <w:jc w:val="center"/>
              <w:rPr>
                <w:rFonts w:ascii="Times New Roman" w:hAnsi="Times New Roman" w:eastAsia="楷体"/>
                <w:kern w:val="0"/>
              </w:rPr>
            </w:pPr>
          </w:p>
        </w:tc>
        <w:tc>
          <w:tcPr>
            <w:tcW w:w="24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楷体"/>
                <w:kern w:val="0"/>
                <w:lang w:eastAsia="zh-CN"/>
              </w:rPr>
            </w:pPr>
            <w:r>
              <w:rPr>
                <w:rFonts w:hint="eastAsia" w:ascii="Times New Roman" w:hAnsi="Times New Roman" w:eastAsia="楷体"/>
                <w:kern w:val="0"/>
                <w:lang w:eastAsia="zh-CN"/>
              </w:rPr>
              <w:t>氰化物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1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楷体" w:hAnsi="楷体" w:eastAsia="楷体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</w:rPr>
              <w:t>≤</w:t>
            </w:r>
            <w:r>
              <w:rPr>
                <w:rFonts w:hint="eastAsia" w:ascii="Times New Roman" w:hAnsi="Times New Roman" w:eastAsia="楷体"/>
                <w:lang w:val="en-US" w:eastAsia="zh-CN"/>
              </w:rPr>
              <w:t>0.001</w:t>
            </w:r>
          </w:p>
        </w:tc>
        <w:tc>
          <w:tcPr>
            <w:tcW w:w="123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楷体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</w:rPr>
              <w:t>≤</w:t>
            </w:r>
            <w:r>
              <w:rPr>
                <w:rFonts w:hint="eastAsia" w:ascii="Times New Roman" w:hAnsi="Times New Roman" w:eastAsia="楷体"/>
                <w:lang w:val="en-US" w:eastAsia="zh-CN"/>
              </w:rPr>
              <w:t>0.01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楷体" w:hAnsi="楷体" w:eastAsia="楷体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</w:rPr>
              <w:t>≤</w:t>
            </w:r>
            <w:r>
              <w:rPr>
                <w:rFonts w:hint="eastAsia" w:ascii="Times New Roman" w:hAnsi="Times New Roman" w:eastAsia="楷体"/>
                <w:lang w:val="en-US" w:eastAsia="zh-CN"/>
              </w:rPr>
              <w:t>0.05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楷体" w:hAnsi="楷体" w:eastAsia="楷体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</w:rPr>
              <w:t>≤</w:t>
            </w:r>
            <w:r>
              <w:rPr>
                <w:rFonts w:hint="eastAsia" w:ascii="Times New Roman" w:hAnsi="Times New Roman" w:eastAsia="楷体"/>
                <w:lang w:val="en-US" w:eastAsia="zh-CN"/>
              </w:rPr>
              <w:t>0.1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楷体" w:cstheme="minorBidi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楷体"/>
                <w:kern w:val="0"/>
              </w:rPr>
              <w:t>＞</w:t>
            </w:r>
            <w:r>
              <w:rPr>
                <w:rFonts w:hint="eastAsia" w:ascii="Times New Roman" w:hAnsi="Times New Roman" w:eastAsia="楷体"/>
                <w:kern w:val="0"/>
                <w:lang w:val="en-US" w:eastAsia="zh-CN"/>
              </w:rPr>
              <w:t>0.1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pStyle w:val="25"/>
              <w:numPr>
                <w:ilvl w:val="0"/>
                <w:numId w:val="2"/>
              </w:numPr>
              <w:ind w:firstLineChars="0"/>
              <w:jc w:val="center"/>
              <w:rPr>
                <w:rFonts w:ascii="Times New Roman" w:hAnsi="Times New Roman" w:eastAsia="楷体"/>
                <w:kern w:val="0"/>
              </w:rPr>
            </w:pPr>
          </w:p>
        </w:tc>
        <w:tc>
          <w:tcPr>
            <w:tcW w:w="24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  <w:kern w:val="0"/>
              </w:rPr>
            </w:pPr>
            <w:r>
              <w:rPr>
                <w:rFonts w:hint="eastAsia" w:ascii="Times New Roman" w:hAnsi="Times New Roman" w:eastAsia="楷体"/>
                <w:kern w:val="0"/>
              </w:rPr>
              <w:t>铬（六价）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1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楷体" w:hAnsi="楷体" w:eastAsia="楷体"/>
              </w:rPr>
              <w:t>≤</w:t>
            </w:r>
            <w:r>
              <w:rPr>
                <w:rFonts w:hint="eastAsia" w:ascii="Times New Roman" w:hAnsi="Times New Roman" w:eastAsia="楷体" w:cs="Times New Roman"/>
              </w:rPr>
              <w:t>0.005</w:t>
            </w:r>
          </w:p>
        </w:tc>
        <w:tc>
          <w:tcPr>
            <w:tcW w:w="123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楷体" w:hAnsi="楷体" w:eastAsia="楷体"/>
              </w:rPr>
              <w:t>≤</w:t>
            </w:r>
            <w:r>
              <w:rPr>
                <w:rFonts w:hint="eastAsia" w:ascii="Times New Roman" w:hAnsi="Times New Roman" w:eastAsia="楷体" w:cs="Times New Roman"/>
              </w:rPr>
              <w:t>0.01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楷体" w:hAnsi="楷体" w:eastAsia="楷体"/>
              </w:rPr>
              <w:t>≤</w:t>
            </w:r>
            <w:r>
              <w:rPr>
                <w:rFonts w:hint="eastAsia" w:ascii="Times New Roman" w:hAnsi="Times New Roman" w:eastAsia="楷体"/>
              </w:rPr>
              <w:t>0.05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楷体" w:hAnsi="楷体" w:eastAsia="楷体" w:cs="楷体"/>
              </w:rPr>
              <w:t>≤</w:t>
            </w:r>
            <w:r>
              <w:rPr>
                <w:rFonts w:hint="eastAsia" w:ascii="Times New Roman" w:hAnsi="Times New Roman" w:eastAsia="楷体"/>
              </w:rPr>
              <w:t>0.10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/>
                <w:kern w:val="0"/>
              </w:rPr>
            </w:pPr>
            <w:r>
              <w:rPr>
                <w:rFonts w:ascii="Times New Roman" w:hAnsi="Times New Roman" w:eastAsia="楷体"/>
                <w:kern w:val="0"/>
              </w:rPr>
              <w:t>＞</w:t>
            </w:r>
            <w:r>
              <w:rPr>
                <w:rFonts w:hint="eastAsia" w:ascii="Times New Roman" w:hAnsi="Times New Roman" w:eastAsia="楷体"/>
                <w:kern w:val="0"/>
              </w:rPr>
              <w:t>0.10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pStyle w:val="25"/>
              <w:numPr>
                <w:ilvl w:val="0"/>
                <w:numId w:val="2"/>
              </w:numPr>
              <w:ind w:firstLineChars="0"/>
              <w:jc w:val="center"/>
              <w:rPr>
                <w:rFonts w:ascii="Times New Roman" w:hAnsi="Times New Roman" w:eastAsia="楷体"/>
                <w:kern w:val="0"/>
              </w:rPr>
            </w:pPr>
          </w:p>
        </w:tc>
        <w:tc>
          <w:tcPr>
            <w:tcW w:w="246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镍/（mg/L）</w:t>
            </w:r>
          </w:p>
        </w:tc>
        <w:tc>
          <w:tcPr>
            <w:tcW w:w="11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szCs w:val="21"/>
              </w:rPr>
              <w:t>0.002</w:t>
            </w:r>
          </w:p>
        </w:tc>
        <w:tc>
          <w:tcPr>
            <w:tcW w:w="123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szCs w:val="21"/>
              </w:rPr>
              <w:t>0.002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szCs w:val="21"/>
              </w:rPr>
              <w:t>0.02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szCs w:val="21"/>
              </w:rPr>
              <w:t>0.10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＞0.10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pStyle w:val="25"/>
              <w:numPr>
                <w:ilvl w:val="0"/>
                <w:numId w:val="2"/>
              </w:numPr>
              <w:ind w:firstLineChars="0"/>
              <w:jc w:val="center"/>
              <w:rPr>
                <w:rFonts w:ascii="Times New Roman" w:hAnsi="Times New Roman" w:eastAsia="楷体"/>
                <w:kern w:val="0"/>
              </w:rPr>
            </w:pPr>
          </w:p>
        </w:tc>
        <w:tc>
          <w:tcPr>
            <w:tcW w:w="246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eastAsia="zh-CN" w:bidi="ar"/>
              </w:rPr>
              <w:t>汞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1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0.00</w:t>
            </w:r>
            <w:r>
              <w:rPr>
                <w:rFonts w:hint="eastAsia" w:ascii="Times New Roman" w:hAnsi="Times New Roman" w:eastAsia="楷体" w:cs="Times New Roman"/>
                <w:color w:val="000000"/>
                <w:szCs w:val="21"/>
                <w:lang w:val="en-US" w:eastAsia="zh-CN"/>
              </w:rPr>
              <w:t>01</w:t>
            </w:r>
          </w:p>
        </w:tc>
        <w:tc>
          <w:tcPr>
            <w:tcW w:w="123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0.0</w:t>
            </w:r>
            <w:r>
              <w:rPr>
                <w:rFonts w:hint="eastAsia" w:ascii="Times New Roman" w:hAnsi="Times New Roman" w:eastAsia="楷体" w:cs="Times New Roman"/>
                <w:color w:val="000000"/>
                <w:szCs w:val="21"/>
                <w:lang w:val="en-US" w:eastAsia="zh-CN"/>
              </w:rPr>
              <w:t>0</w:t>
            </w: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0</w:t>
            </w:r>
            <w:r>
              <w:rPr>
                <w:rFonts w:hint="eastAsia" w:ascii="Times New Roman" w:hAnsi="Times New Roman" w:eastAsia="楷体" w:cs="Times New Roman"/>
                <w:color w:val="000000"/>
                <w:szCs w:val="21"/>
                <w:lang w:val="en-US" w:eastAsia="zh-CN"/>
              </w:rPr>
              <w:t>1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szCs w:val="21"/>
              </w:rPr>
              <w:t>0.0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01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szCs w:val="21"/>
              </w:rPr>
              <w:t>0.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002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＞</w:t>
            </w:r>
            <w:r>
              <w:rPr>
                <w:rFonts w:ascii="Times New Roman" w:hAnsi="Times New Roman" w:eastAsia="楷体" w:cs="Times New Roman"/>
                <w:szCs w:val="21"/>
              </w:rPr>
              <w:t>0.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pStyle w:val="25"/>
              <w:numPr>
                <w:ilvl w:val="0"/>
                <w:numId w:val="2"/>
              </w:numPr>
              <w:ind w:firstLineChars="0"/>
              <w:jc w:val="center"/>
              <w:rPr>
                <w:rFonts w:ascii="Times New Roman" w:hAnsi="Times New Roman" w:eastAsia="楷体"/>
                <w:kern w:val="0"/>
              </w:rPr>
            </w:pPr>
          </w:p>
        </w:tc>
        <w:tc>
          <w:tcPr>
            <w:tcW w:w="246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eastAsia="zh-CN" w:bidi="ar"/>
              </w:rPr>
              <w:t>砷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1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szCs w:val="21"/>
              </w:rPr>
              <w:t>0.0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01</w:t>
            </w:r>
          </w:p>
        </w:tc>
        <w:tc>
          <w:tcPr>
            <w:tcW w:w="123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ascii="Times New Roman" w:hAnsi="Times New Roman" w:eastAsia="楷体" w:cs="Times New Roman"/>
                <w:szCs w:val="21"/>
              </w:rPr>
              <w:t>0.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001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0.0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1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0.0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5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kern w:val="0"/>
                <w:szCs w:val="21"/>
                <w:lang w:eastAsia="zh-CN"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＞</w:t>
            </w:r>
            <w:r>
              <w:rPr>
                <w:rFonts w:ascii="Times New Roman" w:hAnsi="Times New Roman" w:eastAsia="楷体" w:cs="Times New Roman"/>
                <w:szCs w:val="21"/>
              </w:rPr>
              <w:t>0.0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5</w:t>
            </w:r>
          </w:p>
        </w:tc>
      </w:tr>
    </w:tbl>
    <w:p>
      <w:pPr>
        <w:widowControl/>
        <w:spacing w:line="400" w:lineRule="exact"/>
        <w:ind w:left="-281" w:leftChars="-134"/>
        <w:textAlignment w:val="top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楷体" w:cs="Times New Roman"/>
          <w:b/>
          <w:bCs/>
          <w:sz w:val="32"/>
          <w:szCs w:val="32"/>
        </w:rPr>
        <w:t>2、</w:t>
      </w:r>
      <w:r>
        <w:rPr>
          <w:rFonts w:ascii="Times New Roman" w:hAnsi="Times New Roman" w:eastAsia="楷体" w:cs="Times New Roman"/>
          <w:b/>
          <w:bCs/>
          <w:sz w:val="32"/>
          <w:szCs w:val="32"/>
        </w:rPr>
        <w:t>检测结果</w:t>
      </w:r>
    </w:p>
    <w:p>
      <w:pPr>
        <w:spacing w:before="156" w:beforeLines="50" w:line="280" w:lineRule="exact"/>
        <w:rPr>
          <w:rFonts w:ascii="Times New Roman" w:hAnsi="Times New Roman" w:eastAsia="楷体" w:cs="Times New Roman"/>
          <w:sz w:val="24"/>
        </w:rPr>
      </w:pPr>
      <w:r>
        <w:rPr>
          <w:rFonts w:hint="eastAsia" w:ascii="Times New Roman" w:hAnsi="Times New Roman" w:eastAsia="楷体" w:cs="Times New Roman"/>
          <w:sz w:val="24"/>
        </w:rPr>
        <w:t>2.1地下水</w:t>
      </w:r>
      <w:r>
        <w:rPr>
          <w:rFonts w:ascii="Times New Roman" w:hAnsi="Times New Roman" w:eastAsia="楷体" w:cs="Times New Roman"/>
          <w:sz w:val="24"/>
        </w:rPr>
        <w:t>检测结果</w:t>
      </w:r>
    </w:p>
    <w:tbl>
      <w:tblPr>
        <w:tblStyle w:val="7"/>
        <w:tblW w:w="1020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8"/>
        <w:gridCol w:w="1894"/>
        <w:gridCol w:w="1894"/>
        <w:gridCol w:w="1894"/>
        <w:gridCol w:w="189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2628" w:type="dxa"/>
            <w:tcBorders>
              <w:tl2br w:val="single" w:color="auto" w:sz="6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b/>
                <w:bCs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  <w:t xml:space="preserve">        </w:t>
            </w:r>
            <w:r>
              <w:rPr>
                <w:rFonts w:hint="eastAsia" w:ascii="Times New Roman" w:hAnsi="Times New Roman" w:eastAsia="楷体" w:cs="Times New Roman"/>
                <w:b/>
                <w:bCs/>
                <w:kern w:val="0"/>
                <w:szCs w:val="21"/>
                <w:lang w:val="en-US" w:eastAsia="zh-CN" w:bidi="ar"/>
              </w:rPr>
              <w:t xml:space="preserve"> </w:t>
            </w:r>
            <w:r>
              <w:rPr>
                <w:rFonts w:ascii="Times New Roman" w:hAnsi="Times New Roman" w:eastAsia="楷体" w:cs="Times New Roman"/>
                <w:b/>
                <w:bCs/>
                <w:kern w:val="0"/>
                <w:szCs w:val="21"/>
                <w:lang w:bidi="ar"/>
              </w:rPr>
              <w:t>检测点位</w:t>
            </w:r>
          </w:p>
          <w:p>
            <w:pPr>
              <w:spacing w:line="240" w:lineRule="auto"/>
              <w:ind w:firstLine="211" w:firstLineChars="100"/>
              <w:jc w:val="both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b/>
                <w:bCs/>
                <w:kern w:val="0"/>
                <w:szCs w:val="21"/>
                <w:lang w:bidi="ar"/>
              </w:rPr>
              <w:t>检测项目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bCs w:val="0"/>
                <w:szCs w:val="21"/>
                <w:lang w:val="en-US" w:eastAsia="zh-CN"/>
              </w:rPr>
              <w:t>W01车间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单指标评价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eastAsia="宋体" w:asciiTheme="minorHAnsi" w:hAnsiTheme="minorHAnsi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bCs w:val="0"/>
                <w:szCs w:val="21"/>
                <w:lang w:val="en-US" w:eastAsia="zh-CN"/>
              </w:rPr>
              <w:t>W02污水站</w:t>
            </w:r>
          </w:p>
        </w:tc>
        <w:tc>
          <w:tcPr>
            <w:tcW w:w="1895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单指标评价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28" w:type="dxa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4" w:name="_Hlk49933575"/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pH值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6.93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Ⅰ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  <w:lang w:val="en-US" w:eastAsia="zh-CN"/>
              </w:rPr>
              <w:t>6.89</w:t>
            </w:r>
          </w:p>
        </w:tc>
        <w:tc>
          <w:tcPr>
            <w:tcW w:w="189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Ⅰ</w:t>
            </w:r>
          </w:p>
        </w:tc>
      </w:tr>
      <w:bookmarkEnd w:id="4"/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628" w:type="dxa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楷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eastAsia="zh-CN"/>
              </w:rPr>
              <w:t>六价铬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894" w:type="dxa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  <w:lang w:val="en-US" w:eastAsia="zh-CN"/>
              </w:rPr>
              <w:t>&lt;0.004</w:t>
            </w:r>
          </w:p>
        </w:tc>
        <w:tc>
          <w:tcPr>
            <w:tcW w:w="1894" w:type="dxa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Ⅰ</w:t>
            </w:r>
          </w:p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894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  <w:lang w:val="en-US" w:eastAsia="zh-CN"/>
              </w:rPr>
              <w:t>0.007</w:t>
            </w:r>
          </w:p>
        </w:tc>
        <w:tc>
          <w:tcPr>
            <w:tcW w:w="1895" w:type="dxa"/>
            <w:vAlign w:val="top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Ⅱ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628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  <w:t>挥发酚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-4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Ⅰ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-4</w:t>
            </w:r>
          </w:p>
        </w:tc>
        <w:tc>
          <w:tcPr>
            <w:tcW w:w="189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Ⅰ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628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  <w:t>氟化物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  <w:lang w:val="en-US" w:eastAsia="zh-CN"/>
              </w:rPr>
              <w:t>0.222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Ⅰ</w:t>
            </w:r>
          </w:p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kern w:val="2"/>
                <w:sz w:val="21"/>
                <w:szCs w:val="21"/>
                <w:lang w:val="en-US" w:eastAsia="zh-CN" w:bidi="ar-SA"/>
              </w:rPr>
              <w:t>0.194</w:t>
            </w:r>
          </w:p>
        </w:tc>
        <w:tc>
          <w:tcPr>
            <w:tcW w:w="189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Ⅰ</w:t>
            </w:r>
          </w:p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628" w:type="dxa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  <w:t>总氰化物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1"/>
                <w:szCs w:val="21"/>
                <w:lang w:val="en-US" w:eastAsia="zh-CN"/>
              </w:rPr>
              <w:t>0.013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Ⅲ</w:t>
            </w:r>
          </w:p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  <w:t>0.008</w:t>
            </w:r>
          </w:p>
        </w:tc>
        <w:tc>
          <w:tcPr>
            <w:tcW w:w="189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Ⅱ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628" w:type="dxa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val="en-US" w:eastAsia="zh-CN" w:bidi="ar"/>
              </w:rPr>
              <w:t>汞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vertAlign w:val="superscript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5.75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-4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Ⅲ</w:t>
            </w:r>
          </w:p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9.90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-4</w:t>
            </w:r>
          </w:p>
        </w:tc>
        <w:tc>
          <w:tcPr>
            <w:tcW w:w="189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Ⅲ</w:t>
            </w:r>
          </w:p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628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eastAsia="zh-CN" w:bidi="ar"/>
              </w:rPr>
              <w:t>砷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3.7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-4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Ⅰ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2.6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-4</w:t>
            </w:r>
          </w:p>
        </w:tc>
        <w:tc>
          <w:tcPr>
            <w:tcW w:w="1895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628" w:type="dxa"/>
          </w:tcPr>
          <w:p>
            <w:pPr>
              <w:jc w:val="center"/>
              <w:rPr>
                <w:rFonts w:ascii="Times New Roman" w:hAnsi="Times New Roman" w:eastAsia="楷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eastAsia="zh-CN" w:bidi="ar"/>
              </w:rPr>
              <w:t>铜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894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1"/>
                <w:szCs w:val="21"/>
                <w:lang w:val="en-US" w:eastAsia="zh-CN"/>
              </w:rPr>
              <w:t>0.08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Ⅲ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894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sz w:val="21"/>
                <w:szCs w:val="21"/>
                <w:lang w:val="en-US" w:eastAsia="zh-CN"/>
              </w:rPr>
              <w:t>0.07</w:t>
            </w:r>
          </w:p>
        </w:tc>
        <w:tc>
          <w:tcPr>
            <w:tcW w:w="1895" w:type="dxa"/>
            <w:vAlign w:val="top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Ⅲ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2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镍/（mg/L）</w:t>
            </w:r>
          </w:p>
        </w:tc>
        <w:tc>
          <w:tcPr>
            <w:tcW w:w="1894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1"/>
                <w:szCs w:val="21"/>
                <w:lang w:val="en-US" w:eastAsia="zh-CN"/>
              </w:rPr>
              <w:t>0.045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Ⅳ</w:t>
            </w:r>
          </w:p>
        </w:tc>
        <w:tc>
          <w:tcPr>
            <w:tcW w:w="1894" w:type="dxa"/>
            <w:vAlign w:val="top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1"/>
                <w:szCs w:val="21"/>
                <w:lang w:val="en-US" w:eastAsia="zh-CN"/>
              </w:rPr>
              <w:t>0.010</w:t>
            </w:r>
          </w:p>
        </w:tc>
        <w:tc>
          <w:tcPr>
            <w:tcW w:w="1895" w:type="dxa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Ⅲ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2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铁/（mg/L）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0.04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Ⅰ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1"/>
                <w:szCs w:val="21"/>
                <w:lang w:val="en-US" w:eastAsia="zh-CN"/>
              </w:rPr>
              <w:t>0.05</w:t>
            </w:r>
          </w:p>
        </w:tc>
        <w:tc>
          <w:tcPr>
            <w:tcW w:w="1895" w:type="dxa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2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eastAsia="zh-CN" w:bidi="ar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eastAsia="zh-CN" w:bidi="ar"/>
              </w:rPr>
              <w:t>锌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894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0.016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Ⅰ</w:t>
            </w:r>
          </w:p>
        </w:tc>
        <w:tc>
          <w:tcPr>
            <w:tcW w:w="1894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1"/>
                <w:szCs w:val="21"/>
                <w:lang w:val="en-US" w:eastAsia="zh-CN"/>
              </w:rPr>
              <w:t>0.031</w:t>
            </w:r>
          </w:p>
        </w:tc>
        <w:tc>
          <w:tcPr>
            <w:tcW w:w="1895" w:type="dxa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2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eastAsia="zh-CN" w:bidi="ar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eastAsia="zh-CN" w:bidi="ar"/>
              </w:rPr>
              <w:t>铬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Cs w:val="21"/>
                <w:lang w:bidi="ar"/>
              </w:rPr>
              <w:t>/（mg/L）</w:t>
            </w:r>
          </w:p>
        </w:tc>
        <w:tc>
          <w:tcPr>
            <w:tcW w:w="1894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0.05</w:t>
            </w:r>
          </w:p>
        </w:tc>
        <w:tc>
          <w:tcPr>
            <w:tcW w:w="189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894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1"/>
                <w:szCs w:val="21"/>
                <w:lang w:val="en-US" w:eastAsia="zh-CN"/>
              </w:rPr>
              <w:t>0.06</w:t>
            </w:r>
          </w:p>
        </w:tc>
        <w:tc>
          <w:tcPr>
            <w:tcW w:w="1895" w:type="dxa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205" w:type="dxa"/>
            <w:gridSpan w:val="5"/>
            <w:vAlign w:val="center"/>
          </w:tcPr>
          <w:p>
            <w:pPr>
              <w:jc w:val="left"/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依据《地下水质量标准》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（GB 14848-2017）进行判定，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</w:rPr>
              <w:t>01</w:t>
            </w:r>
            <w:r>
              <w:rPr>
                <w:rFonts w:hint="eastAsia" w:ascii="Times New Roman" w:hAnsi="Times New Roman" w:eastAsia="楷体" w:cs="Times New Roman"/>
                <w:b w:val="0"/>
                <w:bCs w:val="0"/>
                <w:szCs w:val="21"/>
                <w:lang w:val="en-US" w:eastAsia="zh-CN"/>
              </w:rPr>
              <w:t>车间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处地下水pH值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</w:rPr>
              <w:t>、六价铬、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挥发酚、氟化物、砷、铁、锌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单指标评价定为</w:t>
            </w:r>
            <w:r>
              <w:rPr>
                <w:rFonts w:hint="eastAsia" w:ascii="宋体" w:hAnsi="宋体" w:eastAsia="宋体" w:cs="宋体"/>
                <w:color w:val="auto"/>
              </w:rPr>
              <w:t>Ⅲ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类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以内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，</w:t>
            </w: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val="en-US" w:eastAsia="zh-CN" w:bidi="ar"/>
              </w:rPr>
              <w:t>总氰化物、汞、铜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单指标评价定为</w:t>
            </w:r>
            <w:r>
              <w:rPr>
                <w:rFonts w:hint="eastAsia" w:ascii="宋体" w:hAnsi="宋体" w:eastAsia="宋体" w:cs="宋体"/>
              </w:rPr>
              <w:t>Ⅲ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类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，镍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单指标评价定为</w:t>
            </w:r>
            <w:r>
              <w:rPr>
                <w:rFonts w:hint="eastAsia" w:ascii="宋体" w:hAnsi="宋体" w:eastAsia="宋体" w:cs="宋体"/>
              </w:rPr>
              <w:t>Ⅳ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类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，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综合判定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</w:rPr>
              <w:t>01</w:t>
            </w:r>
            <w:r>
              <w:rPr>
                <w:rFonts w:hint="eastAsia" w:ascii="Times New Roman" w:hAnsi="Times New Roman" w:eastAsia="楷体" w:cs="Times New Roman"/>
                <w:b w:val="0"/>
                <w:bCs w:val="0"/>
                <w:szCs w:val="21"/>
                <w:lang w:val="en-US" w:eastAsia="zh-CN"/>
              </w:rPr>
              <w:t>车间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处地下水为</w:t>
            </w:r>
            <w:r>
              <w:rPr>
                <w:rFonts w:hint="eastAsia" w:ascii="宋体" w:hAnsi="宋体" w:eastAsia="宋体" w:cs="宋体"/>
              </w:rPr>
              <w:t>Ⅳ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类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；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</w:rPr>
              <w:t>0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 w:cs="Times New Roman"/>
                <w:b w:val="0"/>
                <w:bCs w:val="0"/>
                <w:szCs w:val="21"/>
                <w:lang w:val="en-US" w:eastAsia="zh-CN"/>
              </w:rPr>
              <w:t>污水站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处地下水pH值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</w:rPr>
              <w:t>、六价铬、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挥发酚、氟化物、总氰化物、砷、铁、锌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单指标评价定为</w:t>
            </w:r>
            <w:r>
              <w:rPr>
                <w:rFonts w:hint="eastAsia" w:ascii="宋体" w:hAnsi="宋体" w:eastAsia="宋体" w:cs="宋体"/>
                <w:color w:val="auto"/>
              </w:rPr>
              <w:t>Ⅲ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类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以内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，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镍、</w:t>
            </w: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Cs w:val="21"/>
                <w:lang w:val="en-US" w:eastAsia="zh-CN" w:bidi="ar"/>
              </w:rPr>
              <w:t>汞、铜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指标评价定为</w:t>
            </w:r>
            <w:r>
              <w:rPr>
                <w:rFonts w:hint="eastAsia" w:ascii="宋体" w:hAnsi="宋体" w:eastAsia="宋体" w:cs="宋体"/>
              </w:rPr>
              <w:t>Ⅲ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类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，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综合判定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</w:rPr>
              <w:t>0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 w:cs="Times New Roman"/>
                <w:b w:val="0"/>
                <w:bCs w:val="0"/>
                <w:szCs w:val="21"/>
                <w:lang w:val="en-US" w:eastAsia="zh-CN"/>
              </w:rPr>
              <w:t>污水站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处地下水为</w:t>
            </w:r>
            <w:r>
              <w:rPr>
                <w:rFonts w:hint="eastAsia" w:ascii="宋体" w:hAnsi="宋体" w:eastAsia="宋体" w:cs="宋体"/>
              </w:rPr>
              <w:t>Ⅲ</w:t>
            </w: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类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。</w:t>
            </w:r>
          </w:p>
        </w:tc>
      </w:tr>
    </w:tbl>
    <w:p>
      <w:pPr>
        <w:spacing w:line="280" w:lineRule="exact"/>
        <w:rPr>
          <w:rFonts w:ascii="Times New Roman" w:hAnsi="Times New Roman" w:eastAsia="楷体" w:cs="Times New Roman"/>
          <w:sz w:val="24"/>
        </w:rPr>
      </w:pPr>
    </w:p>
    <w:p>
      <w:pPr>
        <w:spacing w:line="280" w:lineRule="exact"/>
        <w:rPr>
          <w:rFonts w:ascii="Times New Roman" w:hAnsi="Times New Roman" w:eastAsia="楷体" w:cs="Times New Roman"/>
          <w:sz w:val="24"/>
        </w:rPr>
      </w:pPr>
      <w:r>
        <w:rPr>
          <w:rFonts w:ascii="Times New Roman" w:hAnsi="Times New Roman" w:eastAsia="楷体" w:cs="Times New Roman"/>
          <w:sz w:val="24"/>
        </w:rPr>
        <w:t>2.</w:t>
      </w:r>
      <w:r>
        <w:rPr>
          <w:rFonts w:hint="eastAsia" w:ascii="Times New Roman" w:hAnsi="Times New Roman" w:eastAsia="楷体" w:cs="Times New Roman"/>
          <w:sz w:val="24"/>
        </w:rPr>
        <w:t>2土壤</w:t>
      </w:r>
      <w:r>
        <w:rPr>
          <w:rFonts w:ascii="Times New Roman" w:hAnsi="Times New Roman" w:eastAsia="楷体" w:cs="Times New Roman"/>
          <w:sz w:val="24"/>
        </w:rPr>
        <w:t>检测结果</w:t>
      </w:r>
      <w:r>
        <w:rPr>
          <w:rFonts w:hint="eastAsia" w:ascii="Times New Roman" w:hAnsi="Times New Roman" w:eastAsia="楷体" w:cs="Times New Roman"/>
          <w:sz w:val="24"/>
        </w:rPr>
        <w:t>-1                                               单位：mg/kg</w:t>
      </w:r>
    </w:p>
    <w:tbl>
      <w:tblPr>
        <w:tblStyle w:val="7"/>
        <w:tblW w:w="1003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</w:tblPr>
      <w:tblGrid>
        <w:gridCol w:w="327"/>
        <w:gridCol w:w="328"/>
        <w:gridCol w:w="2755"/>
        <w:gridCol w:w="838"/>
        <w:gridCol w:w="889"/>
        <w:gridCol w:w="1326"/>
        <w:gridCol w:w="1326"/>
        <w:gridCol w:w="1328"/>
        <w:gridCol w:w="9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283" w:hRule="atLeast"/>
          <w:tblHeader/>
          <w:jc w:val="center"/>
        </w:trPr>
        <w:tc>
          <w:tcPr>
            <w:tcW w:w="655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bookmarkStart w:id="5" w:name="OLE_LINK8"/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序号</w:t>
            </w:r>
          </w:p>
        </w:tc>
        <w:tc>
          <w:tcPr>
            <w:tcW w:w="275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污染物项目</w:t>
            </w:r>
          </w:p>
        </w:tc>
        <w:tc>
          <w:tcPr>
            <w:tcW w:w="172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第二类用地</w:t>
            </w:r>
          </w:p>
        </w:tc>
        <w:tc>
          <w:tcPr>
            <w:tcW w:w="398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/>
                <w:szCs w:val="21"/>
                <w:lang w:val="en-US" w:eastAsia="zh-CN"/>
              </w:rPr>
              <w:t>车间S01</w:t>
            </w:r>
          </w:p>
        </w:tc>
        <w:tc>
          <w:tcPr>
            <w:tcW w:w="91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符合性</w:t>
            </w:r>
          </w:p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判定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283" w:hRule="atLeast"/>
          <w:tblHeader/>
          <w:jc w:val="center"/>
        </w:trPr>
        <w:tc>
          <w:tcPr>
            <w:tcW w:w="655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</w:p>
        </w:tc>
        <w:tc>
          <w:tcPr>
            <w:tcW w:w="275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筛选值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管制值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第一层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hint="eastAsia" w:eastAsia="楷体"/>
                <w:b/>
                <w:bCs/>
                <w:color w:val="auto"/>
                <w:lang w:bidi="ar"/>
              </w:rPr>
              <w:t>第二层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第三层</w:t>
            </w:r>
          </w:p>
        </w:tc>
        <w:tc>
          <w:tcPr>
            <w:tcW w:w="91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10036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textAlignment w:val="top"/>
              <w:rPr>
                <w:rFonts w:hint="default" w:ascii="Times New Roman" w:hAnsi="Times New Roman" w:eastAsia="楷体" w:cs="Times New Roman"/>
                <w:b/>
                <w:bCs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kern w:val="0"/>
                <w:szCs w:val="21"/>
                <w:lang w:val="en-US" w:eastAsia="zh-CN" w:bidi="ar"/>
              </w:rPr>
              <w:t>基本项目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271" w:hRule="exact"/>
          <w:jc w:val="center"/>
        </w:trPr>
        <w:tc>
          <w:tcPr>
            <w:tcW w:w="32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b w:val="0"/>
                <w:bCs w:val="0"/>
                <w:kern w:val="0"/>
                <w:szCs w:val="21"/>
                <w:lang w:bidi="ar"/>
              </w:rPr>
              <w:t>重金属和无机物</w:t>
            </w: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140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0.28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0.24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0.85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镉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65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172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0.20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0.15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0.13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铬（六价）</w:t>
            </w: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bidi="ar"/>
              </w:rPr>
              <w:t>*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5.7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78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&lt;0.5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&lt;0.5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&lt;0.5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铜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18000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36000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14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14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13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铅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800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2500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10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10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15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汞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38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82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0.441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0.412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0.679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镍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900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ascii="Times New Roman" w:hAnsi="Times New Roman" w:eastAsia="楷体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ascii="Times New Roman" w:hAnsi="Times New Roman" w:eastAsia="楷体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ascii="Times New Roman" w:hAnsi="Times New Roman" w:eastAsia="楷体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0"/>
              </w:numPr>
              <w:tabs>
                <w:tab w:val="left" w:pos="0"/>
              </w:tabs>
              <w:spacing w:line="284" w:lineRule="exact"/>
              <w:ind w:leftChars="0"/>
              <w:jc w:val="center"/>
              <w:textAlignment w:val="top"/>
              <w:rPr>
                <w:rFonts w:ascii="Times New Roman" w:hAnsi="Times New Roman" w:eastAsia="楷体" w:cs="Times New Roman"/>
                <w:b w:val="0"/>
                <w:bCs w:val="0"/>
                <w:kern w:val="0"/>
                <w:szCs w:val="21"/>
                <w:lang w:bidi="ar"/>
              </w:rPr>
            </w:pPr>
            <w:r>
              <w:rPr>
                <w:rStyle w:val="18"/>
                <w:rFonts w:eastAsia="楷体"/>
                <w:b w:val="0"/>
                <w:bCs w:val="0"/>
                <w:color w:val="auto"/>
                <w:lang w:bidi="ar"/>
              </w:rPr>
              <w:t>挥发性有机物</w:t>
            </w: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氯甲烷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37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4.3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1,1-二氯乙烯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66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二氯甲烷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616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反式-1，2-二氯乙烯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54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163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1,1-二氯乙烷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9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0"/>
              </w:numPr>
              <w:tabs>
                <w:tab w:val="left" w:pos="0"/>
              </w:tabs>
              <w:spacing w:line="284" w:lineRule="exact"/>
              <w:ind w:left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顺式-1,2-二氯乙烯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596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氯仿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0.9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1,1,1-三氯乙烷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840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840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四氯化碳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2.8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36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4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40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&lt;1.9×10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&lt;1.9×10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&lt;1.9×10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1，2-二氯乙烷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21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三氯乙烯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2.8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1,2-二氯丙烷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47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甲苯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1200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1,1,2-三氯乙烷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2.8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15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四氯乙烯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53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183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氯苯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270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1,1,1,2-四氯乙烷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乙苯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280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间，对二甲苯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570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570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邻二甲苯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640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640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1290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1290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1,1,2,2-四氯乙烷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6.8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1,2,3-三氯丙烷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1,4-二氯苯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1,2-二氯苯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560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560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restart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0"/>
              </w:numPr>
              <w:spacing w:line="284" w:lineRule="exact"/>
              <w:ind w:left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Style w:val="18"/>
                <w:rFonts w:eastAsia="楷体"/>
                <w:b w:val="0"/>
                <w:bCs w:val="0"/>
                <w:color w:val="auto"/>
                <w:lang w:bidi="ar"/>
              </w:rPr>
              <w:t>半</w:t>
            </w:r>
            <w:r>
              <w:rPr>
                <w:rFonts w:ascii="Times New Roman" w:hAnsi="Times New Roman" w:eastAsia="楷体" w:cs="Times New Roman"/>
                <w:b w:val="0"/>
                <w:bCs w:val="0"/>
                <w:kern w:val="0"/>
                <w:szCs w:val="21"/>
                <w:lang w:bidi="ar"/>
              </w:rPr>
              <w:t>挥发性有机物</w:t>
            </w: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2-氯酚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2256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4500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&lt;0.06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&lt;0.06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&lt;0.06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硝基苯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76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760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萘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70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700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</w:t>
            </w: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bidi="ar"/>
              </w:rPr>
              <w:t>9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苯并[a]蒽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䓛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1293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12900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苯并[b]荧蒽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&lt;0.2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&lt;0.2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&lt;0.2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苯并[k]荧蒽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151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1500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苯并[a]芘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1.5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茚并[1,2,3-cd]芘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二苯并[a,h]蒽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1.5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10036" w:type="dxa"/>
            <w:gridSpan w:val="9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left"/>
              <w:textAlignment w:val="top"/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Style w:val="18"/>
                <w:rFonts w:hint="eastAsia" w:eastAsia="楷体"/>
                <w:color w:val="auto"/>
                <w:lang w:eastAsia="zh-CN" w:bidi="ar"/>
              </w:rPr>
              <w:t>特征因子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655" w:type="dxa"/>
            <w:gridSpan w:val="2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3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shd w:val="clear" w:color="auto" w:fill="auto"/>
            <w:vAlign w:val="top"/>
          </w:tcPr>
          <w:p>
            <w:pPr>
              <w:spacing w:line="284" w:lineRule="exact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eastAsia="zh-CN" w:bidi="ar"/>
              </w:rPr>
              <w:t>总氟化物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/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/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  <w:t>87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  <w:t>93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  <w:t>107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 w:bidi="ar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10036" w:type="dxa"/>
            <w:gridSpan w:val="9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注：符合性判定结果为符合是指污染物含量低于第二类用地风险筛选值。</w:t>
            </w:r>
          </w:p>
        </w:tc>
      </w:tr>
      <w:bookmarkEnd w:id="5"/>
    </w:tbl>
    <w:p>
      <w:pPr>
        <w:spacing w:line="360" w:lineRule="exact"/>
        <w:ind w:left="-281" w:leftChars="-134"/>
        <w:rPr>
          <w:rFonts w:hint="eastAsia" w:ascii="Times New Roman" w:hAnsi="Times New Roman" w:eastAsia="楷体" w:cs="Times New Roman"/>
          <w:sz w:val="24"/>
          <w:u w:val="none"/>
        </w:rPr>
      </w:pPr>
      <w:r>
        <w:rPr>
          <w:rFonts w:hint="eastAsia" w:ascii="Times New Roman" w:hAnsi="Times New Roman" w:eastAsia="楷体" w:cs="Times New Roman"/>
          <w:sz w:val="24"/>
          <w:u w:val="none"/>
        </w:rPr>
        <w:t>土壤检测结果-2                                                   单位：mg/kg</w:t>
      </w:r>
    </w:p>
    <w:tbl>
      <w:tblPr>
        <w:tblStyle w:val="7"/>
        <w:tblW w:w="1003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</w:tblPr>
      <w:tblGrid>
        <w:gridCol w:w="327"/>
        <w:gridCol w:w="328"/>
        <w:gridCol w:w="2755"/>
        <w:gridCol w:w="838"/>
        <w:gridCol w:w="889"/>
        <w:gridCol w:w="1326"/>
        <w:gridCol w:w="1326"/>
        <w:gridCol w:w="1328"/>
        <w:gridCol w:w="9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283" w:hRule="atLeast"/>
          <w:tblHeader/>
          <w:jc w:val="center"/>
        </w:trPr>
        <w:tc>
          <w:tcPr>
            <w:tcW w:w="655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序号</w:t>
            </w:r>
          </w:p>
        </w:tc>
        <w:tc>
          <w:tcPr>
            <w:tcW w:w="275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污染物项目</w:t>
            </w:r>
          </w:p>
        </w:tc>
        <w:tc>
          <w:tcPr>
            <w:tcW w:w="172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第二类用地</w:t>
            </w:r>
          </w:p>
        </w:tc>
        <w:tc>
          <w:tcPr>
            <w:tcW w:w="398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szCs w:val="21"/>
                <w:lang w:val="en-US" w:eastAsia="zh-CN"/>
              </w:rPr>
              <w:t>污水站S02</w:t>
            </w:r>
          </w:p>
        </w:tc>
        <w:tc>
          <w:tcPr>
            <w:tcW w:w="91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符合性</w:t>
            </w:r>
          </w:p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判定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283" w:hRule="atLeast"/>
          <w:tblHeader/>
          <w:jc w:val="center"/>
        </w:trPr>
        <w:tc>
          <w:tcPr>
            <w:tcW w:w="655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</w:p>
        </w:tc>
        <w:tc>
          <w:tcPr>
            <w:tcW w:w="275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筛选值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管制值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第一层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hint="eastAsia" w:eastAsia="楷体"/>
                <w:b/>
                <w:bCs/>
                <w:color w:val="auto"/>
                <w:lang w:bidi="ar"/>
              </w:rPr>
              <w:t>第二层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第三层</w:t>
            </w:r>
          </w:p>
        </w:tc>
        <w:tc>
          <w:tcPr>
            <w:tcW w:w="91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10036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textAlignment w:val="top"/>
              <w:rPr>
                <w:rFonts w:hint="default" w:ascii="Times New Roman" w:hAnsi="Times New Roman" w:eastAsia="楷体" w:cs="Times New Roman"/>
                <w:b/>
                <w:bCs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kern w:val="0"/>
                <w:szCs w:val="21"/>
                <w:lang w:val="en-US" w:eastAsia="zh-CN" w:bidi="ar"/>
              </w:rPr>
              <w:t>基本项目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重金属和</w:t>
            </w:r>
          </w:p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b w:val="0"/>
                <w:bCs w:val="0"/>
                <w:kern w:val="0"/>
                <w:szCs w:val="21"/>
                <w:lang w:bidi="ar"/>
              </w:rPr>
              <w:t>无机物</w:t>
            </w: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140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0.91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0.82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0.56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镉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65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172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0.28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0.10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0.06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铬（六价）</w:t>
            </w: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bidi="ar"/>
              </w:rPr>
              <w:t>*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5.7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78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&lt;0.5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&lt;0.5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&lt;0.5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铜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18000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36000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14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17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24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铅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800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2500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41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10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10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汞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38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82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0.741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0.286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0.670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镍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900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ascii="Times New Roman" w:hAnsi="Times New Roman" w:eastAsia="楷体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ascii="Times New Roman" w:hAnsi="Times New Roman" w:eastAsia="楷体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ascii="Times New Roman" w:hAnsi="Times New Roman" w:eastAsia="楷体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Style w:val="18"/>
                <w:rFonts w:eastAsia="楷体"/>
                <w:b w:val="0"/>
                <w:bCs w:val="0"/>
                <w:color w:val="auto"/>
                <w:lang w:bidi="ar"/>
              </w:rPr>
              <w:t>挥</w:t>
            </w:r>
            <w:r>
              <w:rPr>
                <w:rStyle w:val="18"/>
                <w:rFonts w:hint="eastAsia" w:eastAsia="楷体"/>
                <w:b w:val="0"/>
                <w:bCs w:val="0"/>
                <w:color w:val="auto"/>
                <w:lang w:eastAsia="zh-CN" w:bidi="ar"/>
              </w:rPr>
              <w:t>挥</w:t>
            </w:r>
            <w:r>
              <w:rPr>
                <w:rStyle w:val="18"/>
                <w:rFonts w:eastAsia="楷体"/>
                <w:b w:val="0"/>
                <w:bCs w:val="0"/>
                <w:color w:val="auto"/>
                <w:lang w:bidi="ar"/>
              </w:rPr>
              <w:t>发性有机物</w:t>
            </w: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氯甲烷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37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4.3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1,1-二氯乙烯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66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二氯甲烷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616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反式-1，2-二氯乙烯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54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163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1,1-二氯乙烷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9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0"/>
              </w:numPr>
              <w:tabs>
                <w:tab w:val="left" w:pos="0"/>
              </w:tabs>
              <w:spacing w:line="284" w:lineRule="exact"/>
              <w:ind w:left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顺式-1,2-二氯乙烯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596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氯仿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0.9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1,1,1-三氯乙烷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840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840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四氯化碳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2.8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36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4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40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&lt;1.9×10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&lt;1.9×10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&lt;1.9×10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1，2-二氯乙烷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21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三氯乙烯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2.8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1,2-二氯丙烷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47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甲苯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1200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1,1,2-三氯乙烷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2.8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15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四氯乙烯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53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183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氯苯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270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1,1,1,2-四氯乙烷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乙苯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280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间，对二甲苯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570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570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邻二甲苯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640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640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1290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1290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1,1,2,2-四氯乙烷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6.8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1,2,3-三氯丙烷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1,4-二氯苯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1,2-二氯苯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560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560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restart"/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0" w:firstLine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  <w:t>半挥发性有机物</w:t>
            </w: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2-氯酚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2256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4500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&lt;0.06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&lt;0.06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&lt;0.06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硝基苯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76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760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萘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70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700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</w:t>
            </w: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bidi="ar"/>
              </w:rPr>
              <w:t>9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苯并[a]蒽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0" w:firstLine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䓛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1293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12900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苯并[b]荧蒽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&lt;0.2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&lt;0.2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&lt;0.2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苯并[k]荧蒽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151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1500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苯并[a]芘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1.5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茚并[1,2,3-cd]芘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9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二苯并[a,h]蒽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1.5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10036" w:type="dxa"/>
            <w:gridSpan w:val="9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left"/>
              <w:textAlignment w:val="top"/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Style w:val="18"/>
                <w:rFonts w:hint="eastAsia" w:eastAsia="楷体"/>
                <w:color w:val="auto"/>
                <w:lang w:eastAsia="zh-CN" w:bidi="ar"/>
              </w:rPr>
              <w:t>特征因子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655" w:type="dxa"/>
            <w:gridSpan w:val="2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4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shd w:val="clear" w:color="auto" w:fill="auto"/>
            <w:vAlign w:val="top"/>
          </w:tcPr>
          <w:p>
            <w:pPr>
              <w:spacing w:line="284" w:lineRule="exact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eastAsia="zh-CN" w:bidi="ar"/>
              </w:rPr>
              <w:t>总氟化物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/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/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  <w:t>94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  <w:t>88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1"/>
                <w:szCs w:val="21"/>
                <w:lang w:val="en-US" w:eastAsia="zh-CN" w:bidi="ar"/>
              </w:rPr>
              <w:t>80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 w:bidi="ar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10036" w:type="dxa"/>
            <w:gridSpan w:val="9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注：符合性判定结果为符合是指污染物含量低于第二类用地风险筛选值。</w:t>
            </w:r>
          </w:p>
        </w:tc>
      </w:tr>
    </w:tbl>
    <w:p>
      <w:pPr>
        <w:spacing w:line="360" w:lineRule="exact"/>
        <w:ind w:left="-281" w:leftChars="-134"/>
        <w:rPr>
          <w:rFonts w:hint="eastAsia" w:ascii="Times New Roman" w:hAnsi="Times New Roman" w:eastAsia="楷体" w:cs="Times New Roman"/>
          <w:sz w:val="24"/>
          <w:u w:val="none"/>
        </w:rPr>
      </w:pPr>
      <w:r>
        <w:rPr>
          <w:rFonts w:hint="eastAsia" w:ascii="Times New Roman" w:hAnsi="Times New Roman" w:eastAsia="楷体" w:cs="Times New Roman"/>
          <w:sz w:val="24"/>
          <w:u w:val="none"/>
        </w:rPr>
        <w:t>土壤检测结果-</w:t>
      </w:r>
      <w:r>
        <w:rPr>
          <w:rFonts w:hint="eastAsia" w:ascii="Times New Roman" w:hAnsi="Times New Roman" w:eastAsia="楷体" w:cs="Times New Roman"/>
          <w:sz w:val="24"/>
          <w:u w:val="none"/>
          <w:lang w:val="en-US" w:eastAsia="zh-CN"/>
        </w:rPr>
        <w:t>3</w:t>
      </w:r>
      <w:r>
        <w:rPr>
          <w:rFonts w:hint="eastAsia" w:ascii="Times New Roman" w:hAnsi="Times New Roman" w:eastAsia="楷体" w:cs="Times New Roman"/>
          <w:sz w:val="24"/>
          <w:u w:val="none"/>
        </w:rPr>
        <w:t xml:space="preserve">                                                   单位：mg/kg</w:t>
      </w:r>
    </w:p>
    <w:tbl>
      <w:tblPr>
        <w:tblStyle w:val="7"/>
        <w:tblW w:w="1003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</w:tblPr>
      <w:tblGrid>
        <w:gridCol w:w="327"/>
        <w:gridCol w:w="328"/>
        <w:gridCol w:w="2755"/>
        <w:gridCol w:w="838"/>
        <w:gridCol w:w="889"/>
        <w:gridCol w:w="1326"/>
        <w:gridCol w:w="1326"/>
        <w:gridCol w:w="1328"/>
        <w:gridCol w:w="9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283" w:hRule="atLeast"/>
          <w:tblHeader/>
          <w:jc w:val="center"/>
        </w:trPr>
        <w:tc>
          <w:tcPr>
            <w:tcW w:w="655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序号</w:t>
            </w:r>
          </w:p>
        </w:tc>
        <w:tc>
          <w:tcPr>
            <w:tcW w:w="275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污染物项目</w:t>
            </w:r>
          </w:p>
        </w:tc>
        <w:tc>
          <w:tcPr>
            <w:tcW w:w="172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第二类用地</w:t>
            </w:r>
          </w:p>
        </w:tc>
        <w:tc>
          <w:tcPr>
            <w:tcW w:w="398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szCs w:val="21"/>
                <w:lang w:val="en-US" w:eastAsia="zh-CN"/>
              </w:rPr>
              <w:t>罐区S03</w:t>
            </w:r>
          </w:p>
        </w:tc>
        <w:tc>
          <w:tcPr>
            <w:tcW w:w="91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符合性</w:t>
            </w:r>
          </w:p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判定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283" w:hRule="atLeast"/>
          <w:tblHeader/>
          <w:jc w:val="center"/>
        </w:trPr>
        <w:tc>
          <w:tcPr>
            <w:tcW w:w="655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</w:p>
        </w:tc>
        <w:tc>
          <w:tcPr>
            <w:tcW w:w="275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筛选值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管制值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第一层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hint="eastAsia" w:eastAsia="楷体"/>
                <w:b/>
                <w:bCs/>
                <w:color w:val="auto"/>
                <w:lang w:bidi="ar"/>
              </w:rPr>
              <w:t>第二层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第三层</w:t>
            </w:r>
          </w:p>
        </w:tc>
        <w:tc>
          <w:tcPr>
            <w:tcW w:w="91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10036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textAlignment w:val="top"/>
              <w:rPr>
                <w:rFonts w:hint="default" w:ascii="Times New Roman" w:hAnsi="Times New Roman" w:eastAsia="楷体" w:cs="Times New Roman"/>
                <w:b/>
                <w:bCs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kern w:val="0"/>
                <w:szCs w:val="21"/>
                <w:lang w:val="en-US" w:eastAsia="zh-CN" w:bidi="ar"/>
              </w:rPr>
              <w:t>基本项目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重金属和</w:t>
            </w:r>
          </w:p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b w:val="0"/>
                <w:bCs w:val="0"/>
                <w:kern w:val="0"/>
                <w:szCs w:val="21"/>
                <w:lang w:bidi="ar"/>
              </w:rPr>
              <w:t>无机物</w:t>
            </w: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140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0.35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0.26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0.26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镉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65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172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0.14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0.13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0.14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铬（六价）</w:t>
            </w: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bidi="ar"/>
              </w:rPr>
              <w:t>*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5.7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78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&lt;0.5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&lt;0.5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&lt;0.5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铜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18000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36000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28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22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21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铅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800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2500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10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10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14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汞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38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82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0.693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0.741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/>
              </w:rPr>
              <w:t>0.664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镍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900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ascii="Times New Roman" w:hAnsi="Times New Roman" w:eastAsia="楷体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ascii="Times New Roman" w:hAnsi="Times New Roman" w:eastAsia="楷体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ascii="Times New Roman" w:hAnsi="Times New Roman" w:eastAsia="楷体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b/>
                <w:bCs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Style w:val="18"/>
                <w:rFonts w:eastAsia="楷体"/>
                <w:b w:val="0"/>
                <w:bCs w:val="0"/>
                <w:color w:val="auto"/>
                <w:lang w:bidi="ar"/>
              </w:rPr>
              <w:t>挥</w:t>
            </w:r>
            <w:r>
              <w:rPr>
                <w:rStyle w:val="18"/>
                <w:rFonts w:hint="eastAsia" w:eastAsia="楷体"/>
                <w:b w:val="0"/>
                <w:bCs w:val="0"/>
                <w:color w:val="auto"/>
                <w:lang w:eastAsia="zh-CN" w:bidi="ar"/>
              </w:rPr>
              <w:t>挥</w:t>
            </w:r>
            <w:r>
              <w:rPr>
                <w:rStyle w:val="18"/>
                <w:rFonts w:eastAsia="楷体"/>
                <w:b w:val="0"/>
                <w:bCs w:val="0"/>
                <w:color w:val="auto"/>
                <w:lang w:bidi="ar"/>
              </w:rPr>
              <w:t>发性有机物</w:t>
            </w: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氯甲烷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37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4.3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1,1-二氯乙烯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66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&lt;1.0×10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二氯甲烷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616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反式-1，2-二氯乙烯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54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163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1,1-二氯乙烷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9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0"/>
              </w:numPr>
              <w:tabs>
                <w:tab w:val="left" w:pos="0"/>
              </w:tabs>
              <w:spacing w:line="284" w:lineRule="exact"/>
              <w:ind w:left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顺式-1,2-二氯乙烯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596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氯仿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0.9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1,1,1-三氯乙烷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840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840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四氯化碳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2.8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36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4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40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&lt;1.9×10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&lt;1.9×10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&lt;1.9×10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1，2-二氯乙烷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21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三氯乙烯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2.8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1,2-二氯丙烷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47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甲苯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1200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&lt;1.3×10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1,1,2-三氯乙烷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2.8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15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四氯乙烯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53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183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&lt;1.4×10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氯苯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270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1,1,1,2-四氯乙烷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乙苯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280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间，对二甲苯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570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570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邻二甲苯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640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640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苯乙烯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1290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1290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&lt;1.1×10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1,1,2,2-四氯乙烷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6.8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1,2,3-三氯丙烷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&lt;1.2×10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1,4-二氯苯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200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tabs>
                <w:tab w:val="left" w:pos="0"/>
              </w:tabs>
              <w:spacing w:line="284" w:lineRule="exact"/>
              <w:ind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1,2-二氯苯</w:t>
            </w:r>
          </w:p>
        </w:tc>
        <w:tc>
          <w:tcPr>
            <w:tcW w:w="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560</w:t>
            </w:r>
          </w:p>
        </w:tc>
        <w:tc>
          <w:tcPr>
            <w:tcW w:w="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560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&lt;1.5×10</w:t>
            </w:r>
            <w:r>
              <w:rPr>
                <w:rFonts w:ascii="Times New Roman" w:hAnsi="Times New Roman" w:eastAsia="楷体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restart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0"/>
              </w:numPr>
              <w:spacing w:line="284" w:lineRule="exact"/>
              <w:ind w:left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Style w:val="18"/>
                <w:rFonts w:eastAsia="楷体"/>
                <w:b w:val="0"/>
                <w:bCs w:val="0"/>
                <w:color w:val="auto"/>
                <w:lang w:bidi="ar"/>
              </w:rPr>
              <w:t>半</w:t>
            </w:r>
            <w:r>
              <w:rPr>
                <w:rFonts w:ascii="Times New Roman" w:hAnsi="Times New Roman" w:eastAsia="楷体" w:cs="Times New Roman"/>
                <w:b w:val="0"/>
                <w:bCs w:val="0"/>
                <w:kern w:val="0"/>
                <w:szCs w:val="21"/>
                <w:lang w:bidi="ar"/>
              </w:rPr>
              <w:t>挥发性有机物</w:t>
            </w: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2-氯酚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2256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4500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&lt;0.06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&lt;0.06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&lt;0.06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硝基苯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76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760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萘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70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700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&lt;0.09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&lt;0.0</w:t>
            </w: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bidi="ar"/>
              </w:rPr>
              <w:t>9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苯并[a]蒽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䓛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1293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12900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苯并[b]荧蒽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&lt;0.2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&lt;0.2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&lt;0.2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苯并[k]荧蒽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151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1500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苯并[a]芘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1.5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茚并[1,2,3-cd]芘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327" w:type="dxa"/>
            <w:vMerge w:val="continue"/>
            <w:shd w:val="clear" w:color="auto" w:fill="auto"/>
            <w:vAlign w:val="center"/>
          </w:tcPr>
          <w:p>
            <w:pPr>
              <w:pStyle w:val="23"/>
              <w:spacing w:line="284" w:lineRule="exact"/>
              <w:ind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二苯并[a,h]蒽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1.5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15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  <w:t>&lt;0.1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10036" w:type="dxa"/>
            <w:gridSpan w:val="9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left"/>
              <w:textAlignment w:val="top"/>
              <w:rPr>
                <w:rStyle w:val="18"/>
                <w:rFonts w:hint="eastAsia" w:eastAsia="楷体"/>
                <w:color w:val="auto"/>
                <w:lang w:eastAsia="zh-CN" w:bidi="ar"/>
              </w:rPr>
            </w:pPr>
            <w:r>
              <w:rPr>
                <w:rStyle w:val="18"/>
                <w:rFonts w:hint="eastAsia" w:eastAsia="楷体"/>
                <w:color w:val="auto"/>
                <w:lang w:eastAsia="zh-CN" w:bidi="ar"/>
              </w:rPr>
              <w:t>特征因子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exact"/>
          <w:jc w:val="center"/>
        </w:trPr>
        <w:tc>
          <w:tcPr>
            <w:tcW w:w="655" w:type="dxa"/>
            <w:gridSpan w:val="2"/>
            <w:shd w:val="clear" w:color="auto" w:fill="auto"/>
            <w:vAlign w:val="center"/>
          </w:tcPr>
          <w:p>
            <w:pPr>
              <w:pStyle w:val="23"/>
              <w:numPr>
                <w:ilvl w:val="0"/>
                <w:numId w:val="5"/>
              </w:numPr>
              <w:spacing w:line="284" w:lineRule="exact"/>
              <w:ind w:left="0" w:leftChars="0" w:firstLine="0" w:firstLineChars="0"/>
              <w:jc w:val="center"/>
              <w:textAlignment w:val="top"/>
              <w:rPr>
                <w:rFonts w:ascii="Times New Roman" w:hAnsi="Times New Roman" w:eastAsia="楷体" w:cs="Times New Roman"/>
                <w:kern w:val="0"/>
                <w:szCs w:val="21"/>
                <w:lang w:bidi="ar"/>
              </w:rPr>
            </w:pPr>
          </w:p>
        </w:tc>
        <w:tc>
          <w:tcPr>
            <w:tcW w:w="2755" w:type="dxa"/>
            <w:shd w:val="clear" w:color="auto" w:fill="auto"/>
          </w:tcPr>
          <w:p>
            <w:pPr>
              <w:spacing w:line="284" w:lineRule="exact"/>
              <w:jc w:val="center"/>
              <w:textAlignment w:val="top"/>
              <w:rPr>
                <w:rFonts w:hint="eastAsia" w:ascii="Times New Roman" w:hAnsi="Times New Roman" w:eastAsia="楷体" w:cs="Times New Roman"/>
                <w:kern w:val="0"/>
                <w:szCs w:val="21"/>
                <w:lang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eastAsia="zh-CN" w:bidi="ar"/>
              </w:rPr>
              <w:t>总氟化物</w:t>
            </w:r>
          </w:p>
        </w:tc>
        <w:tc>
          <w:tcPr>
            <w:tcW w:w="838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/</w:t>
            </w:r>
          </w:p>
        </w:tc>
        <w:tc>
          <w:tcPr>
            <w:tcW w:w="889" w:type="dxa"/>
            <w:shd w:val="clear" w:color="auto" w:fill="auto"/>
            <w:vAlign w:val="center"/>
          </w:tcPr>
          <w:p>
            <w:pPr>
              <w:spacing w:line="284" w:lineRule="exact"/>
              <w:jc w:val="center"/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/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  <w:t>85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  <w:t>93</w:t>
            </w:r>
          </w:p>
        </w:tc>
        <w:tc>
          <w:tcPr>
            <w:tcW w:w="1328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val="en-US" w:eastAsia="zh-CN" w:bidi="ar"/>
              </w:rPr>
              <w:t>94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jc w:val="center"/>
              <w:textAlignment w:val="top"/>
              <w:rPr>
                <w:rStyle w:val="18"/>
                <w:rFonts w:hint="eastAsia" w:eastAsia="楷体"/>
                <w:color w:val="auto"/>
                <w:lang w:val="en-US" w:eastAsia="zh-CN" w:bidi="ar"/>
              </w:rPr>
            </w:pPr>
            <w:r>
              <w:rPr>
                <w:rStyle w:val="18"/>
                <w:rFonts w:hint="eastAsia" w:eastAsia="楷体"/>
                <w:color w:val="auto"/>
                <w:lang w:val="en-US" w:eastAsia="zh-CN" w:bidi="ar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283" w:hRule="atLeast"/>
          <w:jc w:val="center"/>
        </w:trPr>
        <w:tc>
          <w:tcPr>
            <w:tcW w:w="10036" w:type="dxa"/>
            <w:gridSpan w:val="9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84" w:lineRule="exact"/>
              <w:textAlignment w:val="top"/>
              <w:rPr>
                <w:rStyle w:val="18"/>
                <w:rFonts w:eastAsia="楷体"/>
                <w:color w:val="auto"/>
                <w:lang w:bidi="ar"/>
              </w:rPr>
            </w:pPr>
            <w:r>
              <w:rPr>
                <w:rStyle w:val="18"/>
                <w:rFonts w:eastAsia="楷体"/>
                <w:color w:val="auto"/>
                <w:lang w:bidi="ar"/>
              </w:rPr>
              <w:t>注：符合性判定结果为符合是指污染物含量低于第二类用地风险筛选值。</w:t>
            </w:r>
          </w:p>
        </w:tc>
      </w:tr>
    </w:tbl>
    <w:p>
      <w:pPr>
        <w:spacing w:line="360" w:lineRule="exact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楷体" w:cs="Times New Roman"/>
          <w:b/>
          <w:bCs/>
          <w:sz w:val="32"/>
          <w:szCs w:val="32"/>
        </w:rPr>
        <w:t>3、质量保证及质量控制</w:t>
      </w:r>
    </w:p>
    <w:p>
      <w:pPr>
        <w:adjustRightInd w:val="0"/>
        <w:snapToGrid w:val="0"/>
        <w:spacing w:line="380" w:lineRule="exact"/>
        <w:rPr>
          <w:rFonts w:ascii="Times New Roman" w:hAnsi="Times New Roman" w:eastAsia="楷体" w:cs="Times New Roman"/>
          <w:sz w:val="24"/>
        </w:rPr>
      </w:pPr>
      <w:r>
        <w:rPr>
          <w:rFonts w:ascii="Times New Roman" w:hAnsi="Times New Roman" w:eastAsia="楷体" w:cs="Times New Roman"/>
          <w:sz w:val="24"/>
        </w:rPr>
        <w:t>3.1分析方法及检测仪器</w:t>
      </w:r>
    </w:p>
    <w:p>
      <w:pPr>
        <w:jc w:val="center"/>
        <w:rPr>
          <w:rFonts w:ascii="Times New Roman" w:hAnsi="Times New Roman" w:eastAsia="楷体" w:cs="Times New Roman"/>
          <w:b/>
          <w:bCs/>
          <w:sz w:val="24"/>
        </w:rPr>
      </w:pPr>
      <w:r>
        <w:rPr>
          <w:rFonts w:ascii="Times New Roman" w:hAnsi="Times New Roman" w:eastAsia="楷体" w:cs="Times New Roman"/>
          <w:b/>
          <w:bCs/>
          <w:sz w:val="24"/>
        </w:rPr>
        <w:t>地下水分析方法及使用仪器一览表</w:t>
      </w:r>
    </w:p>
    <w:tbl>
      <w:tblPr>
        <w:tblStyle w:val="7"/>
        <w:tblW w:w="10035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6"/>
        <w:gridCol w:w="3395"/>
        <w:gridCol w:w="1977"/>
        <w:gridCol w:w="277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检测项目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楷体"/>
                <w:kern w:val="0"/>
                <w:sz w:val="24"/>
                <w:szCs w:val="21"/>
              </w:rPr>
              <w:t>检测标准编号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楷体"/>
                <w:kern w:val="0"/>
                <w:sz w:val="24"/>
                <w:szCs w:val="21"/>
              </w:rPr>
              <w:t>检测方法名称</w:t>
            </w:r>
          </w:p>
        </w:tc>
        <w:tc>
          <w:tcPr>
            <w:tcW w:w="2777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仪器设备及编号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pH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值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《水和废水监测分析方法》（第四版增补版）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t>便携式pH计法</w:t>
            </w:r>
          </w:p>
        </w:tc>
        <w:tc>
          <w:tcPr>
            <w:tcW w:w="2777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>pH计/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Z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B-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06-02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lang w:val="en-US" w:eastAsia="zh-CN" w:bidi="ar"/>
              </w:rPr>
              <w:t>总氰化物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</w:rPr>
              <w:t xml:space="preserve">HJ 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484</w:t>
            </w:r>
            <w:r>
              <w:rPr>
                <w:rFonts w:hint="eastAsia" w:ascii="Times New Roman" w:hAnsi="Times New Roman" w:eastAsia="楷体" w:cs="Times New Roman"/>
                <w:sz w:val="24"/>
              </w:rPr>
              <w:t>-20</w:t>
            </w: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09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 w:cstheme="minorBidi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楷体"/>
                <w:color w:val="auto"/>
                <w:sz w:val="24"/>
              </w:rPr>
              <w:t>分光光度法</w:t>
            </w:r>
          </w:p>
        </w:tc>
        <w:tc>
          <w:tcPr>
            <w:tcW w:w="2777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双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光束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紫外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可见分光光度计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/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A-10-02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 w:cs="Times New Roman"/>
                <w:color w:val="auto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/>
              </w:rPr>
              <w:t>铜、镍、铬、锌、铁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/>
                <w:color w:val="auto"/>
                <w:sz w:val="24"/>
              </w:rPr>
            </w:pPr>
            <w:r>
              <w:rPr>
                <w:rFonts w:hint="eastAsia" w:ascii="Times New Roman" w:hAnsi="Times New Roman" w:eastAsia="楷体"/>
                <w:color w:val="auto"/>
                <w:sz w:val="24"/>
              </w:rPr>
              <w:t>HJ776-2015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/>
                <w:color w:val="auto"/>
                <w:sz w:val="24"/>
              </w:rPr>
            </w:pPr>
            <w:r>
              <w:rPr>
                <w:rFonts w:ascii="Times New Roman" w:hAnsi="Times New Roman" w:eastAsia="楷体"/>
                <w:color w:val="auto"/>
                <w:sz w:val="24"/>
              </w:rPr>
              <w:t>电感耦合等离子体发射光谱法</w:t>
            </w:r>
          </w:p>
        </w:tc>
        <w:tc>
          <w:tcPr>
            <w:tcW w:w="277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/>
                <w:color w:val="auto"/>
                <w:sz w:val="24"/>
              </w:rPr>
            </w:pPr>
            <w:r>
              <w:rPr>
                <w:rFonts w:hint="eastAsia" w:ascii="Times New Roman" w:hAnsi="Times New Roman" w:eastAsia="楷体"/>
                <w:color w:val="auto"/>
                <w:sz w:val="24"/>
              </w:rPr>
              <w:t>电感耦合等离子体发射光谱仪/ZA-04-01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/>
              </w:rPr>
              <w:t>汞、砷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/>
                <w:color w:val="auto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HJ 694-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2014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hint="eastAsia" w:ascii="Times New Roman" w:hAnsi="Times New Roman" w:eastAsia="楷体"/>
                <w:color w:val="auto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/>
                <w:color w:val="auto"/>
                <w:sz w:val="24"/>
                <w:lang w:eastAsia="zh-CN"/>
              </w:rPr>
              <w:t>原子荧光法</w:t>
            </w:r>
          </w:p>
        </w:tc>
        <w:tc>
          <w:tcPr>
            <w:tcW w:w="2777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/>
              </w:rPr>
              <w:t>原子荧光仪/ZA-05-01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楷体"/>
                <w:color w:val="auto"/>
                <w:kern w:val="0"/>
                <w:sz w:val="24"/>
              </w:rPr>
              <w:t>六价铬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楷体"/>
                <w:color w:val="auto"/>
                <w:kern w:val="0"/>
                <w:sz w:val="24"/>
              </w:rPr>
              <w:t>GB/T</w:t>
            </w:r>
            <w:r>
              <w:rPr>
                <w:rFonts w:hint="eastAsia" w:ascii="Times New Roman" w:hAnsi="Times New Roman" w:eastAsia="楷体"/>
                <w:color w:val="auto"/>
                <w:kern w:val="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楷体"/>
                <w:color w:val="auto"/>
                <w:kern w:val="0"/>
                <w:sz w:val="24"/>
              </w:rPr>
              <w:t>7467-1987</w:t>
            </w:r>
          </w:p>
        </w:tc>
        <w:tc>
          <w:tcPr>
            <w:tcW w:w="197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/>
                <w:color w:val="auto"/>
                <w:sz w:val="24"/>
              </w:rPr>
            </w:pPr>
            <w:r>
              <w:rPr>
                <w:rFonts w:ascii="Times New Roman" w:hAnsi="Times New Roman" w:eastAsia="楷体"/>
                <w:color w:val="auto"/>
                <w:sz w:val="24"/>
              </w:rPr>
              <w:t>分光光度法</w:t>
            </w:r>
          </w:p>
        </w:tc>
        <w:tc>
          <w:tcPr>
            <w:tcW w:w="277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auto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双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光束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紫外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可见分光光度计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/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A-10-02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hint="eastAsia" w:ascii="Times New Roman" w:hAnsi="Times New Roman" w:eastAsia="楷体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/>
                <w:color w:val="auto"/>
                <w:kern w:val="0"/>
                <w:sz w:val="24"/>
                <w:lang w:eastAsia="zh-CN"/>
              </w:rPr>
              <w:t>挥发酚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hint="default" w:ascii="Times New Roman" w:hAnsi="Times New Roman" w:eastAsia="楷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color w:val="auto"/>
                <w:kern w:val="0"/>
                <w:sz w:val="24"/>
                <w:lang w:val="en-US" w:eastAsia="zh-CN"/>
              </w:rPr>
              <w:t>HJ 503-2009</w:t>
            </w:r>
          </w:p>
        </w:tc>
        <w:tc>
          <w:tcPr>
            <w:tcW w:w="197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ascii="Times New Roman" w:hAnsi="Times New Roman" w:eastAsia="楷体"/>
                <w:color w:val="auto"/>
                <w:sz w:val="24"/>
              </w:rPr>
            </w:pPr>
          </w:p>
        </w:tc>
        <w:tc>
          <w:tcPr>
            <w:tcW w:w="277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Times New Roman" w:hAnsi="Times New Roman" w:eastAsia="楷体" w:cs="Times New Roman"/>
                <w:color w:val="auto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hint="default" w:ascii="Times New Roman" w:hAnsi="Times New Roman" w:eastAsia="楷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color w:val="auto"/>
                <w:kern w:val="0"/>
                <w:sz w:val="24"/>
                <w:lang w:val="en-US" w:eastAsia="zh-CN"/>
              </w:rPr>
              <w:t xml:space="preserve"> 氟化物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hint="default" w:ascii="Times New Roman" w:hAnsi="Times New Roman" w:eastAsia="楷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color w:val="auto"/>
                <w:kern w:val="0"/>
                <w:sz w:val="24"/>
                <w:lang w:val="en-US" w:eastAsia="zh-CN"/>
              </w:rPr>
              <w:t>HJ 84-2016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60" w:lineRule="exact"/>
              <w:jc w:val="center"/>
              <w:rPr>
                <w:rFonts w:hint="eastAsia" w:ascii="Times New Roman" w:hAnsi="Times New Roman" w:eastAsia="楷体"/>
                <w:color w:val="auto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/>
                <w:color w:val="auto"/>
                <w:sz w:val="24"/>
                <w:lang w:eastAsia="zh-CN"/>
              </w:rPr>
              <w:t>离子色谱法</w:t>
            </w:r>
          </w:p>
        </w:tc>
        <w:tc>
          <w:tcPr>
            <w:tcW w:w="2777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/>
              </w:rPr>
              <w:t>离子色谱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/>
              </w:rPr>
              <w:t>/A-13-01</w:t>
            </w:r>
          </w:p>
        </w:tc>
      </w:tr>
    </w:tbl>
    <w:p>
      <w:pPr>
        <w:spacing w:line="380" w:lineRule="exact"/>
        <w:jc w:val="center"/>
        <w:rPr>
          <w:rFonts w:ascii="Times New Roman" w:hAnsi="Times New Roman" w:eastAsia="楷体" w:cs="Times New Roman"/>
          <w:b/>
          <w:bCs/>
          <w:sz w:val="24"/>
        </w:rPr>
      </w:pPr>
      <w:r>
        <w:rPr>
          <w:rFonts w:ascii="Times New Roman" w:hAnsi="Times New Roman" w:eastAsia="楷体" w:cs="Times New Roman"/>
          <w:b/>
          <w:bCs/>
          <w:sz w:val="24"/>
        </w:rPr>
        <w:t>土壤分析方法及使用仪器一览表</w:t>
      </w:r>
    </w:p>
    <w:tbl>
      <w:tblPr>
        <w:tblStyle w:val="7"/>
        <w:tblW w:w="10035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4"/>
        <w:gridCol w:w="2108"/>
        <w:gridCol w:w="2733"/>
        <w:gridCol w:w="292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楷体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楷体"/>
                <w:kern w:val="0"/>
                <w:sz w:val="24"/>
                <w:szCs w:val="21"/>
              </w:rPr>
              <w:t>检测项目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楷体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楷体"/>
                <w:kern w:val="0"/>
                <w:sz w:val="24"/>
                <w:szCs w:val="21"/>
              </w:rPr>
              <w:t>检测标准编号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楷体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楷体"/>
                <w:kern w:val="0"/>
                <w:sz w:val="24"/>
                <w:szCs w:val="21"/>
              </w:rPr>
              <w:t>检测方法名称</w:t>
            </w:r>
          </w:p>
        </w:tc>
        <w:tc>
          <w:tcPr>
            <w:tcW w:w="292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楷体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楷体"/>
                <w:kern w:val="0"/>
                <w:sz w:val="24"/>
                <w:szCs w:val="21"/>
              </w:rPr>
              <w:t>仪器设备及编号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1"/>
              </w:rPr>
              <w:t>土壤水分和干物质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1"/>
              </w:rPr>
              <w:t>HJ613-2011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1"/>
              </w:rPr>
              <w:t>烘干重量法</w:t>
            </w:r>
          </w:p>
        </w:tc>
        <w:tc>
          <w:tcPr>
            <w:tcW w:w="292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1"/>
              </w:rPr>
              <w:t>电子天平/ ZA-11-02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1"/>
              </w:rPr>
              <w:t>挥发性有机物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HJ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605-2011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气相色谱-质谱法</w:t>
            </w:r>
          </w:p>
        </w:tc>
        <w:tc>
          <w:tcPr>
            <w:tcW w:w="292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气相色谱质谱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仪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A-12-01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 w:val="24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</w:rPr>
              <w:t>半挥发性有机物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FF0000"/>
                <w:kern w:val="0"/>
                <w:sz w:val="24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HJ 834-2017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FF0000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气相色谱-质谱法</w:t>
            </w:r>
          </w:p>
        </w:tc>
        <w:tc>
          <w:tcPr>
            <w:tcW w:w="292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气相色谱质谱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仪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A-12-01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1"/>
              </w:rPr>
              <w:t>汞、砷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HJ 680-2013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微波消解/原子荧光 </w:t>
            </w:r>
          </w:p>
        </w:tc>
        <w:tc>
          <w:tcPr>
            <w:tcW w:w="292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原子荧光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仪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ZA-05-01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镉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GB/T 171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41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-1997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石墨炉原子吸收分光光度法</w:t>
            </w:r>
          </w:p>
        </w:tc>
        <w:tc>
          <w:tcPr>
            <w:tcW w:w="292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FF0000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原子吸收分光光度计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/A-0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铅、铜、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镍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HJ 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491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2019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火焰原子吸收分光光度</w:t>
            </w:r>
          </w:p>
        </w:tc>
        <w:tc>
          <w:tcPr>
            <w:tcW w:w="29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FF0000"/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总氟化物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HJ 873-2017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离子选择电极法</w:t>
            </w:r>
          </w:p>
        </w:tc>
        <w:tc>
          <w:tcPr>
            <w:tcW w:w="292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FF0000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  <w:lang w:val="en-US" w:eastAsia="zh-CN"/>
              </w:rPr>
              <w:t>离子选择电极计/ZA-14-01</w:t>
            </w:r>
          </w:p>
        </w:tc>
      </w:tr>
    </w:tbl>
    <w:p>
      <w:pPr>
        <w:adjustRightInd w:val="0"/>
        <w:snapToGrid w:val="0"/>
        <w:spacing w:line="400" w:lineRule="exact"/>
        <w:rPr>
          <w:rFonts w:ascii="Times New Roman" w:hAnsi="Times New Roman" w:eastAsia="楷体" w:cs="Times New Roman"/>
          <w:sz w:val="24"/>
        </w:rPr>
      </w:pPr>
      <w:r>
        <w:rPr>
          <w:rFonts w:hint="eastAsia" w:ascii="Times New Roman" w:hAnsi="Times New Roman" w:eastAsia="楷体" w:cs="Times New Roman"/>
          <w:sz w:val="24"/>
        </w:rPr>
        <w:t>3.2、人员资质</w:t>
      </w:r>
    </w:p>
    <w:p>
      <w:pPr>
        <w:spacing w:line="400" w:lineRule="exact"/>
        <w:rPr>
          <w:rFonts w:ascii="楷体" w:hAnsi="楷体" w:eastAsia="楷体" w:cs="楷体"/>
          <w:color w:val="000000"/>
          <w:sz w:val="24"/>
          <w:szCs w:val="22"/>
        </w:rPr>
      </w:pPr>
      <w:r>
        <w:rPr>
          <w:rFonts w:hint="eastAsia" w:ascii="楷体" w:hAnsi="楷体" w:eastAsia="楷体" w:cs="楷体"/>
          <w:color w:val="000000"/>
          <w:sz w:val="24"/>
          <w:szCs w:val="22"/>
        </w:rPr>
        <w:t xml:space="preserve">    本次项目的检测人员经过上岗证考核并持有合格证书，监测人员资质一览表见下表。</w:t>
      </w:r>
    </w:p>
    <w:p>
      <w:pPr>
        <w:spacing w:line="400" w:lineRule="exact"/>
        <w:jc w:val="center"/>
        <w:rPr>
          <w:rFonts w:ascii="Times New Roman" w:hAnsi="Times New Roman" w:eastAsia="楷体" w:cs="Times New Roman"/>
          <w:b/>
          <w:bCs/>
          <w:color w:val="000000"/>
          <w:sz w:val="24"/>
        </w:rPr>
      </w:pP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人员资质一览表</w:t>
      </w:r>
    </w:p>
    <w:tbl>
      <w:tblPr>
        <w:tblStyle w:val="7"/>
        <w:tblW w:w="1020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2080"/>
        <w:gridCol w:w="3641"/>
        <w:gridCol w:w="325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  <w:t>序号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  <w:t>姓名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  <w:t>本项目分工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  <w:t>上岗证编号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1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  <w:t>项羽豪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采样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ZJZH(上岗)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  <w:t>029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2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  <w:t>陈家辉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采样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1"/>
                <w:lang w:val="en-US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ZJZH(上岗)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013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3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  <w:t>吴俊强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采样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ZJZH(上岗)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  <w:t>031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4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  <w:t>徐凌云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采样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ZJZH(上岗)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022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  <w:t>5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王振远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分析检测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ZJZH(上岗)00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6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陈君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报告审核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ZJZH(上岗)0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39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7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邵金鹏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分析检测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 xml:space="preserve">ZJZH(上岗)003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8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eastAsia="zh-CN"/>
              </w:rPr>
              <w:t>陈宣扬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分析检测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ZJZH(上岗)0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  <w:t>28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9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黄顺宇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分析检测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ZJZH(上岗)0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07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  <w:t>10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eastAsia="zh-CN"/>
              </w:rPr>
              <w:t>吴奇超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分析检测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ZJZH(上岗)0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  <w:t>33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  <w:t>11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梁磊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分析检测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ZJZH(上岗)0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  <w:lang w:val="en-US" w:eastAsia="zh-CN"/>
              </w:rPr>
              <w:t>12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1"/>
              </w:rPr>
              <w:t>黄都晓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报告签发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1"/>
              </w:rPr>
              <w:t>（采）字第2019-101</w:t>
            </w:r>
          </w:p>
        </w:tc>
      </w:tr>
    </w:tbl>
    <w:p>
      <w:pPr>
        <w:pStyle w:val="5"/>
        <w:ind w:left="-281" w:leftChars="-134"/>
        <w:outlineLvl w:val="9"/>
        <w:rPr>
          <w:rFonts w:ascii="Times New Roman" w:hAnsi="Times New Roman" w:eastAsia="楷体" w:cs="楷体"/>
          <w:b w:val="0"/>
          <w:bCs w:val="0"/>
          <w:sz w:val="24"/>
          <w:szCs w:val="24"/>
          <w:lang w:eastAsia="zh-CN"/>
        </w:rPr>
      </w:pPr>
      <w:r>
        <w:rPr>
          <w:rFonts w:ascii="Times New Roman" w:hAnsi="Times New Roman" w:eastAsia="楷体" w:cs="Times New Roman"/>
          <w:b w:val="0"/>
          <w:bCs w:val="0"/>
          <w:sz w:val="24"/>
          <w:szCs w:val="24"/>
          <w:lang w:eastAsia="zh-CN"/>
        </w:rPr>
        <w:t>3.3</w:t>
      </w:r>
      <w:r>
        <w:rPr>
          <w:rFonts w:hint="eastAsia" w:ascii="Times New Roman" w:hAnsi="Times New Roman" w:eastAsia="楷体" w:cs="楷体"/>
          <w:b w:val="0"/>
          <w:bCs w:val="0"/>
          <w:sz w:val="24"/>
          <w:szCs w:val="24"/>
          <w:lang w:eastAsia="zh-CN"/>
        </w:rPr>
        <w:t>土壤检测分析过程中的质量保证和质量控制</w:t>
      </w:r>
    </w:p>
    <w:p>
      <w:pPr>
        <w:spacing w:line="360" w:lineRule="auto"/>
        <w:ind w:firstLine="480" w:firstLineChars="200"/>
        <w:rPr>
          <w:rFonts w:ascii="楷体" w:hAnsi="楷体" w:eastAsia="楷体" w:cs="楷体"/>
          <w:color w:val="000000"/>
          <w:sz w:val="24"/>
        </w:rPr>
      </w:pPr>
      <w:r>
        <w:rPr>
          <w:rFonts w:hint="eastAsia" w:ascii="Times New Roman" w:hAnsi="Times New Roman" w:eastAsia="楷体" w:cs="Times New Roman"/>
          <w:sz w:val="24"/>
        </w:rPr>
        <w:t>土壤</w:t>
      </w:r>
      <w:r>
        <w:rPr>
          <w:rFonts w:ascii="Times New Roman" w:hAnsi="Times New Roman" w:eastAsia="楷体" w:cs="Times New Roman"/>
          <w:color w:val="000000"/>
          <w:sz w:val="24"/>
        </w:rPr>
        <w:t>样</w:t>
      </w:r>
      <w:r>
        <w:rPr>
          <w:rFonts w:hint="eastAsia" w:ascii="Times New Roman" w:hAnsi="Times New Roman" w:eastAsia="楷体" w:cs="Times New Roman"/>
          <w:color w:val="000000"/>
          <w:sz w:val="24"/>
        </w:rPr>
        <w:t>品</w:t>
      </w:r>
      <w:r>
        <w:rPr>
          <w:rFonts w:ascii="Times New Roman" w:hAnsi="Times New Roman" w:eastAsia="楷体" w:cs="Times New Roman"/>
          <w:color w:val="000000"/>
          <w:sz w:val="24"/>
        </w:rPr>
        <w:t>的采集、运输、保存、实验室分析和数据计算的全过程均按《</w:t>
      </w:r>
      <w:r>
        <w:rPr>
          <w:rFonts w:hint="eastAsia" w:ascii="Times New Roman" w:hAnsi="Times New Roman" w:eastAsia="楷体" w:cs="Times New Roman"/>
          <w:color w:val="000000"/>
          <w:sz w:val="24"/>
        </w:rPr>
        <w:t>土壤环境监测技术规范</w:t>
      </w:r>
      <w:r>
        <w:rPr>
          <w:rFonts w:ascii="Times New Roman" w:hAnsi="Times New Roman" w:eastAsia="楷体" w:cs="Times New Roman"/>
          <w:color w:val="000000"/>
          <w:sz w:val="24"/>
        </w:rPr>
        <w:t>》HJ/T16</w:t>
      </w:r>
      <w:r>
        <w:rPr>
          <w:rFonts w:hint="eastAsia" w:ascii="Times New Roman" w:hAnsi="Times New Roman" w:eastAsia="楷体" w:cs="Times New Roman"/>
          <w:color w:val="000000"/>
          <w:sz w:val="24"/>
        </w:rPr>
        <w:t>6</w:t>
      </w:r>
      <w:r>
        <w:rPr>
          <w:rFonts w:ascii="Times New Roman" w:hAnsi="Times New Roman" w:eastAsia="楷体" w:cs="Times New Roman"/>
          <w:color w:val="000000"/>
          <w:sz w:val="24"/>
        </w:rPr>
        <w:t>-2004</w:t>
      </w:r>
      <w:r>
        <w:rPr>
          <w:rFonts w:hint="eastAsia" w:ascii="Times New Roman" w:hAnsi="Times New Roman" w:eastAsia="楷体" w:cs="Times New Roman"/>
          <w:color w:val="000000"/>
          <w:sz w:val="24"/>
          <w:lang w:eastAsia="zh-CN"/>
        </w:rPr>
        <w:t>、《地块土壤和地下水中挥发性有机物采样技术导则》及相关分析方法标准等</w:t>
      </w:r>
      <w:r>
        <w:rPr>
          <w:rFonts w:ascii="Times New Roman" w:hAnsi="Times New Roman" w:eastAsia="楷体" w:cs="Times New Roman"/>
          <w:color w:val="000000"/>
          <w:sz w:val="24"/>
        </w:rPr>
        <w:t>要求进行。采样过程中采集一定比例的平行样和空白样；实验室分析过程使用空白试验、平行样测定</w:t>
      </w:r>
      <w:r>
        <w:rPr>
          <w:rFonts w:hint="eastAsia" w:ascii="楷体" w:hAnsi="楷体" w:eastAsia="楷体" w:cs="楷体"/>
          <w:color w:val="000000"/>
          <w:sz w:val="24"/>
        </w:rPr>
        <w:t>等质控措施，质控数据符合相关质控要求，部分质控分析结果情况见下表。</w:t>
      </w:r>
    </w:p>
    <w:p>
      <w:pPr>
        <w:jc w:val="center"/>
        <w:rPr>
          <w:rFonts w:hint="eastAsia" w:ascii="楷体" w:hAnsi="楷体" w:eastAsia="楷体" w:cs="楷体"/>
          <w:b/>
          <w:bCs/>
          <w:color w:val="000000"/>
          <w:sz w:val="24"/>
        </w:rPr>
      </w:pPr>
    </w:p>
    <w:p>
      <w:pPr>
        <w:jc w:val="center"/>
        <w:rPr>
          <w:rFonts w:hint="eastAsia" w:ascii="楷体" w:hAnsi="楷体" w:eastAsia="楷体" w:cs="楷体"/>
          <w:b/>
          <w:bCs/>
          <w:color w:val="000000"/>
          <w:sz w:val="24"/>
        </w:rPr>
      </w:pPr>
    </w:p>
    <w:p>
      <w:pPr>
        <w:jc w:val="center"/>
        <w:rPr>
          <w:rFonts w:ascii="楷体" w:hAnsi="楷体" w:eastAsia="楷体" w:cs="楷体"/>
          <w:b/>
          <w:bCs/>
          <w:color w:val="000000"/>
          <w:sz w:val="24"/>
        </w:rPr>
      </w:pPr>
      <w:r>
        <w:rPr>
          <w:rFonts w:hint="eastAsia" w:ascii="楷体" w:hAnsi="楷体" w:eastAsia="楷体" w:cs="楷体"/>
          <w:b/>
          <w:bCs/>
          <w:color w:val="000000"/>
          <w:sz w:val="24"/>
        </w:rPr>
        <w:t>分析项目平行样情况具体数量一览表</w:t>
      </w:r>
    </w:p>
    <w:tbl>
      <w:tblPr>
        <w:tblStyle w:val="7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5"/>
        <w:gridCol w:w="1524"/>
        <w:gridCol w:w="1536"/>
        <w:gridCol w:w="1711"/>
        <w:gridCol w:w="132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637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楷体" w:hAnsi="楷体" w:eastAsia="楷体" w:cs="楷体"/>
                <w:color w:val="000000"/>
                <w:kern w:val="0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</w:rPr>
              <w:t>分析项目</w:t>
            </w:r>
          </w:p>
        </w:tc>
        <w:tc>
          <w:tcPr>
            <w:tcW w:w="1408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楷体" w:hAnsi="楷体" w:eastAsia="楷体" w:cs="楷体"/>
                <w:color w:val="000000"/>
                <w:kern w:val="0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</w:rPr>
              <w:t>样品数量</w:t>
            </w:r>
          </w:p>
          <w:p>
            <w:pPr>
              <w:spacing w:line="280" w:lineRule="exact"/>
              <w:jc w:val="center"/>
              <w:rPr>
                <w:rFonts w:ascii="楷体" w:hAnsi="楷体" w:eastAsia="楷体" w:cs="楷体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kern w:val="0"/>
                <w:szCs w:val="21"/>
              </w:rPr>
              <w:t>（个）</w:t>
            </w:r>
          </w:p>
        </w:tc>
        <w:tc>
          <w:tcPr>
            <w:tcW w:w="1419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楷体" w:hAnsi="楷体" w:eastAsia="楷体" w:cs="楷体"/>
                <w:color w:val="000000"/>
                <w:kern w:val="0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</w:rPr>
              <w:t>平行样数量</w:t>
            </w:r>
          </w:p>
          <w:p>
            <w:pPr>
              <w:spacing w:line="280" w:lineRule="exact"/>
              <w:jc w:val="center"/>
              <w:rPr>
                <w:rFonts w:ascii="楷体" w:hAnsi="楷体" w:eastAsia="楷体" w:cs="楷体"/>
                <w:color w:val="000000"/>
                <w:kern w:val="0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</w:rPr>
              <w:t>（个）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楷体" w:hAnsi="楷体" w:eastAsia="楷体" w:cs="楷体"/>
                <w:color w:val="000000"/>
                <w:kern w:val="0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</w:rPr>
              <w:t>要求</w:t>
            </w:r>
          </w:p>
        </w:tc>
        <w:tc>
          <w:tcPr>
            <w:tcW w:w="1228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楷体" w:hAnsi="楷体" w:eastAsia="楷体" w:cs="楷体"/>
                <w:color w:val="000000"/>
                <w:kern w:val="0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</w:rPr>
              <w:t>评判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637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</w:rPr>
              <w:t>汞、砷</w:t>
            </w:r>
            <w:r>
              <w:rPr>
                <w:rFonts w:ascii="楷体" w:hAnsi="楷体" w:eastAsia="楷体" w:cs="楷体"/>
                <w:color w:val="000000"/>
                <w:kern w:val="0"/>
                <w:szCs w:val="21"/>
              </w:rPr>
              <w:t>、</w:t>
            </w:r>
            <w:r>
              <w:rPr>
                <w:rFonts w:hint="eastAsia" w:ascii="Times New Roman" w:hAnsi="Times New Roman" w:eastAsia="楷体" w:cs="Times New Roman"/>
                <w:kern w:val="0"/>
                <w:szCs w:val="21"/>
              </w:rPr>
              <w:t>镉、铅、铜、镍</w:t>
            </w:r>
            <w:r>
              <w:rPr>
                <w:rFonts w:hint="eastAsia" w:ascii="Times New Roman" w:hAnsi="Times New Roman" w:eastAsia="楷体" w:cs="Times New Roman"/>
                <w:kern w:val="0"/>
                <w:szCs w:val="21"/>
                <w:lang w:eastAsia="zh-CN"/>
              </w:rPr>
              <w:t>、总氟化物</w:t>
            </w:r>
          </w:p>
        </w:tc>
        <w:tc>
          <w:tcPr>
            <w:tcW w:w="1408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1419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15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kern w:val="0"/>
                <w:szCs w:val="21"/>
              </w:rPr>
              <w:t>每20个样品或每批次（少于20个样品/批）须分析一个平行样</w:t>
            </w:r>
          </w:p>
        </w:tc>
        <w:tc>
          <w:tcPr>
            <w:tcW w:w="122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637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楷体" w:hAnsi="楷体" w:eastAsia="楷体" w:cs="楷体"/>
                <w:color w:val="000000"/>
                <w:kern w:val="0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</w:rPr>
              <w:t>挥发性有机物</w:t>
            </w:r>
          </w:p>
        </w:tc>
        <w:tc>
          <w:tcPr>
            <w:tcW w:w="1408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1419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15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28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637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楷体" w:hAnsi="楷体" w:eastAsia="楷体" w:cs="楷体"/>
                <w:color w:val="000000"/>
                <w:kern w:val="0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</w:rPr>
              <w:t>半挥发性有机物</w:t>
            </w:r>
          </w:p>
        </w:tc>
        <w:tc>
          <w:tcPr>
            <w:tcW w:w="1408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1419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15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28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kern w:val="0"/>
                <w:szCs w:val="21"/>
              </w:rPr>
              <w:t>符合要求</w:t>
            </w:r>
          </w:p>
        </w:tc>
      </w:tr>
    </w:tbl>
    <w:p>
      <w:pPr>
        <w:spacing w:line="312" w:lineRule="auto"/>
        <w:jc w:val="center"/>
        <w:rPr>
          <w:rFonts w:ascii="Times New Roman" w:hAnsi="Times New Roman" w:eastAsia="楷体" w:cs="Times New Roman"/>
          <w:b/>
          <w:bCs/>
          <w:color w:val="000000"/>
          <w:sz w:val="24"/>
        </w:rPr>
      </w:pP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 xml:space="preserve">                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>质控分析结果情况一览表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>-1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 xml:space="preserve">    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 xml:space="preserve">       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  </w:t>
      </w:r>
      <w:r>
        <w:rPr>
          <w:rFonts w:ascii="Times New Roman" w:hAnsi="Times New Roman" w:eastAsia="楷体" w:cs="Times New Roman"/>
          <w:color w:val="000000"/>
          <w:sz w:val="24"/>
        </w:rPr>
        <w:t>单位</w:t>
      </w:r>
      <w:r>
        <w:rPr>
          <w:rFonts w:hint="eastAsia" w:ascii="Times New Roman" w:hAnsi="Times New Roman" w:eastAsia="楷体" w:cs="Times New Roman"/>
          <w:color w:val="000000"/>
          <w:sz w:val="24"/>
        </w:rPr>
        <w:t>：</w:t>
      </w:r>
      <w:r>
        <w:rPr>
          <w:rFonts w:ascii="Times New Roman" w:hAnsi="Times New Roman" w:eastAsia="楷体" w:cs="Times New Roman"/>
          <w:color w:val="000000"/>
          <w:sz w:val="24"/>
        </w:rPr>
        <w:t>mg/kg</w:t>
      </w:r>
    </w:p>
    <w:tbl>
      <w:tblPr>
        <w:tblStyle w:val="7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4"/>
        <w:gridCol w:w="1939"/>
        <w:gridCol w:w="1744"/>
        <w:gridCol w:w="1615"/>
        <w:gridCol w:w="220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</w:rPr>
              <w:t>控制项目</w:t>
            </w:r>
          </w:p>
        </w:tc>
        <w:tc>
          <w:tcPr>
            <w:tcW w:w="1939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</w:rPr>
              <w:t>控制措施</w:t>
            </w:r>
          </w:p>
        </w:tc>
        <w:tc>
          <w:tcPr>
            <w:tcW w:w="174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</w:rPr>
              <w:t>测定结果</w:t>
            </w:r>
          </w:p>
        </w:tc>
        <w:tc>
          <w:tcPr>
            <w:tcW w:w="161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</w:rPr>
              <w:t>要求</w:t>
            </w:r>
          </w:p>
        </w:tc>
        <w:tc>
          <w:tcPr>
            <w:tcW w:w="2203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</w:rPr>
              <w:t>评判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</w:rPr>
              <w:t>2-氯酚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bookmarkStart w:id="6" w:name="OLE_LINK22"/>
            <w:r>
              <w:rPr>
                <w:rFonts w:hint="default" w:ascii="Times New Roman" w:hAnsi="Times New Roman" w:eastAsia="楷体" w:cs="Times New Roman"/>
              </w:rPr>
              <w:t>˂0.06</w:t>
            </w:r>
            <w:bookmarkEnd w:id="6"/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</w:rPr>
              <w:t>˂0.06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萘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bookmarkStart w:id="7" w:name="OLE_LINK23"/>
            <w:r>
              <w:rPr>
                <w:rFonts w:hint="default" w:ascii="Times New Roman" w:hAnsi="Times New Roman" w:eastAsia="楷体" w:cs="Times New Roman"/>
              </w:rPr>
              <w:t>˂0.09</w:t>
            </w:r>
            <w:bookmarkEnd w:id="7"/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˂0.09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苯并（a）蒽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bookmarkStart w:id="8" w:name="OLE_LINK24"/>
            <w:r>
              <w:rPr>
                <w:rFonts w:hint="default" w:ascii="Times New Roman" w:hAnsi="Times New Roman" w:eastAsia="楷体" w:cs="Times New Roman"/>
              </w:rPr>
              <w:t>˂0.1</w:t>
            </w:r>
            <w:bookmarkEnd w:id="8"/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˂0.1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䓛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bookmarkStart w:id="9" w:name="OLE_LINK25"/>
            <w:r>
              <w:rPr>
                <w:rFonts w:hint="default" w:ascii="Times New Roman" w:hAnsi="Times New Roman" w:eastAsia="楷体" w:cs="Times New Roman"/>
              </w:rPr>
              <w:t>˂0.1</w:t>
            </w:r>
            <w:bookmarkEnd w:id="9"/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˂0.1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苯并（b）荧蒽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˂0.2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˂0.2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苯并（k）荧蒽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˂0.1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˂0.1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苯并（a）芘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˂0.1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˂0.1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二苯并（a,h）蒽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˂0.1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˂0.1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茚并（1,2,3-c,d）芘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˂0.1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˂0.1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</w:rPr>
              <w:t>硝基苯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</w:rPr>
              <w:t>˂0.09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</w:rPr>
              <w:t>˂0.09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氯甲烷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1,1-二氯乙烯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二氯甲烷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反式-1，2-二氯乙烯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&lt;1.4×10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&lt;1.4×10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1,1-二氯乙烷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顺式-1,2-二氯乙烯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氯仿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1,1,1-三氯乙烷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四氯化碳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&lt;1.9×10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&lt;1.9×10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1，2-二氯乙烷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三氯乙烯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1,2-二氯丙烷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甲苯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1,1,2-三氯乙烷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四氯乙烯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&lt;1.4×10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&lt;1.4×10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氯苯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1,1,1,2-四氯乙烷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乙苯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间，对二甲苯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邻二甲苯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1,1,2,2-四氯乙烷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1,2,3-三氯丙烷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1,4-二氯苯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1,2-二氯苯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全程序空白样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氯甲烷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1,1-二氯乙烯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二氯甲烷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反式-1，2-二氯乙烯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&lt;1.4×10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&lt;1.4×10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1,1-二氯乙烷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顺式-1,2-二氯乙烯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氯仿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1,1,1-三氯乙烷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四氯化碳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&lt;1.9×10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&lt;1.9×10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1，2-二氯乙烷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三氯乙烯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1,2-二氯丙烷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甲苯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1,1,2-三氯乙烷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四氯乙烯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&lt;1.4×10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&lt;1.4×10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氯苯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1,1,1,2-四氯乙烷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乙苯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间，对二甲苯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邻二甲苯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1,1,2,2-四氯乙烷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1,2,3-三氯丙烷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1,4-二氯苯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1,2-二氯苯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运输空白样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氯甲烷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1,1-二氯乙烯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&lt;1.0×10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二氯甲烷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反式-1，2-二氯乙烯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&lt;1.4×10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&lt;1.4×10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1,1-二氯乙烷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顺式-1,2-二氯乙烯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氯仿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1,1,1-三氯乙烷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四氯化碳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&lt;1.9×10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&lt;1.9×10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1，2-二氯乙烷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三氯乙烯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1,2-二氯丙烷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甲苯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&lt;1.3×10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1,1,2-三氯乙烷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四氯乙烯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&lt;1.4×10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&lt;1.4×10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氯苯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1,1,1,2-四氯乙烷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乙苯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间，对二甲苯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邻二甲苯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苯乙烯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&lt;1.1×10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1,1,2,2-四氯乙烷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1,2,3-三氯丙烷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&lt;1.2×10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1,4-二氯苯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</w:rPr>
              <w:t>1,2-二氯苯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实验室空白样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&lt;1.5×10</w:t>
            </w:r>
            <w:r>
              <w:rPr>
                <w:rFonts w:hint="default" w:ascii="Times New Roman" w:hAnsi="Times New Roman" w:cs="Times New Roman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符合要求</w:t>
            </w:r>
          </w:p>
        </w:tc>
      </w:tr>
    </w:tbl>
    <w:p>
      <w:pPr>
        <w:adjustRightInd w:val="0"/>
        <w:snapToGrid w:val="0"/>
        <w:spacing w:line="400" w:lineRule="exact"/>
        <w:jc w:val="center"/>
        <w:rPr>
          <w:rFonts w:ascii="Times New Roman" w:hAnsi="Times New Roman" w:eastAsia="楷体" w:cs="Times New Roman"/>
          <w:b/>
          <w:sz w:val="36"/>
          <w:szCs w:val="36"/>
        </w:rPr>
      </w:pP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 xml:space="preserve"> 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>质控分析结果情况一览表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>-2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 xml:space="preserve">    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 xml:space="preserve">       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  单位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>：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>mg/kg</w:t>
      </w:r>
    </w:p>
    <w:tbl>
      <w:tblPr>
        <w:tblStyle w:val="7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8"/>
        <w:gridCol w:w="2252"/>
        <w:gridCol w:w="974"/>
        <w:gridCol w:w="1508"/>
        <w:gridCol w:w="1063"/>
        <w:gridCol w:w="1256"/>
        <w:gridCol w:w="168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exact"/>
          <w:jc w:val="center"/>
        </w:trPr>
        <w:tc>
          <w:tcPr>
            <w:tcW w:w="129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样品编号</w:t>
            </w:r>
          </w:p>
        </w:tc>
        <w:tc>
          <w:tcPr>
            <w:tcW w:w="22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控制项目</w:t>
            </w:r>
          </w:p>
        </w:tc>
        <w:tc>
          <w:tcPr>
            <w:tcW w:w="97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控制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措施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测定结果</w:t>
            </w:r>
          </w:p>
        </w:tc>
        <w:tc>
          <w:tcPr>
            <w:tcW w:w="106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相对偏差（%）</w:t>
            </w:r>
          </w:p>
        </w:tc>
        <w:tc>
          <w:tcPr>
            <w:tcW w:w="125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要求（%）</w:t>
            </w:r>
          </w:p>
        </w:tc>
        <w:tc>
          <w:tcPr>
            <w:tcW w:w="168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评判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sz w:val="24"/>
                <w:szCs w:val="24"/>
                <w:lang w:val="en-US" w:eastAsia="zh-CN"/>
              </w:rPr>
              <w:t>20-1-558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楷体" w:cs="Times New Roman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/>
                <w:color w:val="000000"/>
                <w:sz w:val="24"/>
                <w:szCs w:val="24"/>
                <w:lang w:val="en-US" w:eastAsia="zh-CN"/>
              </w:rPr>
              <w:t>TRS02-2</w:t>
            </w: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bottom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2-氯苯酚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&lt;0.06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&lt;0.06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bottom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硝基苯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&lt;0.09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&lt;0.09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bottom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萘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&lt;0.09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&lt;0.09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bottom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苯并（a）蒽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&lt;0.1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&lt;0.1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䓛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&lt;0.1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&lt;4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&lt;0.1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bottom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苯并（b）荧蒽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&lt;0.2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&lt;0.2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bottom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苯并（k）荧蒽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&lt;0.1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&lt;0.1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bottom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苯并（a）芘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&lt;0.1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&lt;0.1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bottom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茚并（1,2,3-cd）芘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&lt;0.1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&lt;0.1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bottom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二苯并（ah）蒽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&lt;0.1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&lt;0.1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氯甲烷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&lt;1.0×10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&lt;1.0×10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氯乙烯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&lt;1.0×10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&lt;1.0×10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1,1-二氯乙烯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&lt;1.0×10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&lt;1.0×10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二氯甲烷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&lt;1.5×10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&lt;1.5×10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反-1,2-二氯乙烯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&lt;1.4×10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&lt;1.4×10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1,1-二氯乙烷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顺-1,2-二氯乙烯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&lt;1.3×10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&lt;1.3×10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氯仿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&lt;1.1×10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&lt;1.1×10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1,1,1-三氯乙烷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&lt;1.3×10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&lt;1.3×10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四氯化碳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&lt;1.3×10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&lt;1.3×10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&lt;1.9×10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&lt;1.9×10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1,2-二氯乙烷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&lt;1.3×10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&lt;1.3×10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10"/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三氯乙烯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1,2-二氯丙烷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&lt;1.1×10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&lt;1.1×10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甲苯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&lt;1.3×10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&lt;1.3×10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1,1,2-三氯乙烷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四氯乙烯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&lt;1.4×10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&lt;1.4×10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氯苯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1,1,1,2-四氯乙烷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乙苯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间/对二甲苯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邻二甲苯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苯乙烯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&lt;1.1×10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&lt;1.1×10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1,1,2,2-四氯乙烷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1,2,3-三氯丙烷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&lt;1.2×10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1,4-二氯苯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&lt;1.5×10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&lt;1.5×10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1,2-二氯苯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&lt;1.5×10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lang w:bidi="ar"/>
              </w:rPr>
              <w:t>&lt;1.5×10</w:t>
            </w:r>
            <w:r>
              <w:rPr>
                <w:rFonts w:ascii="Times New Roman" w:hAnsi="Times New Roman" w:eastAsia="楷体" w:cs="Times New Roman"/>
                <w:color w:val="000000"/>
                <w:kern w:val="0"/>
                <w:szCs w:val="21"/>
                <w:vertAlign w:val="superscript"/>
                <w:lang w:bidi="ar"/>
              </w:rPr>
              <w:t>-3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砷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tabs>
                <w:tab w:val="left" w:pos="291"/>
              </w:tabs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0.80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1.5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&lt;20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0.83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镉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0.10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30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0.10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铜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5.9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铅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ascii="Times New Roman" w:hAnsi="Times New Roman" w:eastAsia="楷体" w:cs="Times New Roman"/>
                <w:color w:val="auto"/>
                <w:lang w:val="en-US" w:eastAsia="zh-CN"/>
              </w:rPr>
              <w:t>10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&lt;10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ascii="Times New Roman" w:hAnsi="Times New Roman" w:eastAsia="楷体" w:cs="Times New Roman"/>
                <w:color w:val="auto"/>
                <w:lang w:val="en-US" w:eastAsia="zh-CN"/>
              </w:rPr>
              <w:t>10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镍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ascii="Times New Roman" w:hAnsi="Times New Roman" w:eastAsia="楷体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20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18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8"/>
                <w:rFonts w:hint="eastAsia" w:ascii="Times New Roman" w:hAnsi="Times New Roman" w:eastAsia="楷体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汞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0.296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3.5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&lt;25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0.276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楷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eastAsia="zh-CN"/>
              </w:rPr>
              <w:t>总氟化物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  <w:t>89</w:t>
            </w:r>
          </w:p>
        </w:tc>
        <w:tc>
          <w:tcPr>
            <w:tcW w:w="106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kern w:val="0"/>
                <w:szCs w:val="21"/>
                <w:lang w:val="en-US" w:eastAsia="zh-CN"/>
              </w:rPr>
              <w:t>1.7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&lt;10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2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22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  <w:t>86</w:t>
            </w:r>
          </w:p>
        </w:tc>
        <w:tc>
          <w:tcPr>
            <w:tcW w:w="10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top"/>
              <w:rPr>
                <w:rFonts w:ascii="Times New Roman" w:hAnsi="Times New Roman" w:eastAsia="楷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</w:tbl>
    <w:p>
      <w:pPr>
        <w:adjustRightInd w:val="0"/>
        <w:snapToGrid w:val="0"/>
        <w:rPr>
          <w:rFonts w:ascii="Times New Roman" w:hAnsi="Times New Roman" w:eastAsia="楷体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 xml:space="preserve">    注：“NC”表示结果无法计算</w:t>
      </w:r>
    </w:p>
    <w:p>
      <w:pPr>
        <w:pStyle w:val="5"/>
        <w:spacing w:line="400" w:lineRule="exact"/>
        <w:ind w:left="-281" w:leftChars="-134"/>
        <w:rPr>
          <w:rFonts w:ascii="Times New Roman" w:hAnsi="Times New Roman" w:eastAsia="楷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楷体" w:cs="Times New Roman"/>
          <w:color w:val="000000"/>
          <w:sz w:val="24"/>
        </w:rPr>
        <w:t xml:space="preserve"> </w:t>
      </w:r>
      <w:r>
        <w:rPr>
          <w:rFonts w:ascii="Times New Roman" w:hAnsi="Times New Roman" w:eastAsia="楷体" w:cs="Times New Roman"/>
          <w:sz w:val="24"/>
          <w:szCs w:val="24"/>
          <w:lang w:eastAsia="zh-CN"/>
        </w:rPr>
        <w:t>3.4 地下水检测分析过程中的质量保证和质量控制</w:t>
      </w:r>
    </w:p>
    <w:p>
      <w:pPr>
        <w:spacing w:line="400" w:lineRule="exact"/>
        <w:ind w:left="-281" w:leftChars="-134" w:firstLine="480"/>
        <w:rPr>
          <w:rFonts w:ascii="Times New Roman" w:hAnsi="Times New Roman" w:eastAsia="楷体" w:cs="Times New Roman"/>
          <w:color w:val="000000"/>
          <w:sz w:val="24"/>
        </w:rPr>
      </w:pPr>
      <w:r>
        <w:rPr>
          <w:rFonts w:ascii="Times New Roman" w:hAnsi="Times New Roman" w:eastAsia="楷体" w:cs="Times New Roman"/>
          <w:sz w:val="24"/>
        </w:rPr>
        <w:t>地下</w:t>
      </w:r>
      <w:r>
        <w:rPr>
          <w:rFonts w:ascii="Times New Roman" w:hAnsi="Times New Roman" w:eastAsia="楷体" w:cs="Times New Roman"/>
          <w:color w:val="000000"/>
          <w:sz w:val="24"/>
        </w:rPr>
        <w:t>水样的采集、运输、保存、实验室分析和数据计算的全过程均按《地下水环境技术规范》HJ/T164-2004</w:t>
      </w:r>
      <w:r>
        <w:rPr>
          <w:rFonts w:hint="eastAsia" w:ascii="Times New Roman" w:hAnsi="Times New Roman" w:eastAsia="楷体" w:cs="Times New Roman"/>
          <w:color w:val="auto"/>
          <w:sz w:val="24"/>
          <w:lang w:eastAsia="zh-CN"/>
        </w:rPr>
        <w:t>等</w:t>
      </w:r>
      <w:r>
        <w:rPr>
          <w:rFonts w:ascii="Times New Roman" w:hAnsi="Times New Roman" w:eastAsia="楷体" w:cs="Times New Roman"/>
          <w:color w:val="auto"/>
          <w:sz w:val="24"/>
        </w:rPr>
        <w:t>要求进行。采</w:t>
      </w:r>
      <w:r>
        <w:rPr>
          <w:rFonts w:ascii="Times New Roman" w:hAnsi="Times New Roman" w:eastAsia="楷体" w:cs="Times New Roman"/>
          <w:color w:val="000000"/>
          <w:sz w:val="24"/>
        </w:rPr>
        <w:t>样过程中采集一定比例的平行样和空白样；实验室分析过程</w:t>
      </w:r>
      <w:r>
        <w:rPr>
          <w:rFonts w:hint="eastAsia" w:ascii="Times New Roman" w:hAnsi="Times New Roman" w:eastAsia="楷体" w:cs="Times New Roman"/>
          <w:color w:val="000000"/>
          <w:sz w:val="24"/>
        </w:rPr>
        <w:t>进行</w:t>
      </w:r>
      <w:r>
        <w:rPr>
          <w:rFonts w:ascii="Times New Roman" w:hAnsi="Times New Roman" w:eastAsia="楷体" w:cs="Times New Roman"/>
          <w:color w:val="000000"/>
          <w:sz w:val="24"/>
        </w:rPr>
        <w:t>空白试验、平行样测定等质控措施，质控数据符合相关质控要求，部分质控分析结果情况见下表。</w:t>
      </w:r>
    </w:p>
    <w:p>
      <w:pPr>
        <w:pStyle w:val="10"/>
        <w:ind w:firstLine="2713" w:firstLineChars="1126"/>
        <w:jc w:val="both"/>
        <w:rPr>
          <w:rFonts w:eastAsia="楷体"/>
        </w:rPr>
      </w:pPr>
      <w:r>
        <w:rPr>
          <w:rFonts w:ascii="Times New Roman" w:hAnsi="Times New Roman" w:eastAsia="楷体" w:cs="Times New Roman"/>
          <w:b/>
          <w:bCs/>
        </w:rPr>
        <w:t>质控分析结果情况一览表</w:t>
      </w:r>
      <w:r>
        <w:rPr>
          <w:rFonts w:hint="eastAsia" w:ascii="Times New Roman" w:hAnsi="Times New Roman" w:eastAsia="楷体" w:cs="Times New Roman"/>
          <w:b/>
          <w:bCs/>
        </w:rPr>
        <w:t>-</w:t>
      </w:r>
      <w:r>
        <w:rPr>
          <w:rFonts w:ascii="Times New Roman" w:hAnsi="Times New Roman" w:eastAsia="楷体" w:cs="Times New Roman"/>
          <w:b/>
          <w:bCs/>
        </w:rPr>
        <w:t>3</w:t>
      </w:r>
    </w:p>
    <w:tbl>
      <w:tblPr>
        <w:tblStyle w:val="7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9"/>
        <w:gridCol w:w="1541"/>
        <w:gridCol w:w="1276"/>
        <w:gridCol w:w="1977"/>
        <w:gridCol w:w="1132"/>
        <w:gridCol w:w="1256"/>
        <w:gridCol w:w="168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点位</w:t>
            </w: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  <w:lang w:eastAsia="zh-CN"/>
              </w:rPr>
              <w:t>编号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控制项目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控制措施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测定结果</w:t>
            </w: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（mg/L）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相对偏差（%）</w:t>
            </w:r>
          </w:p>
        </w:tc>
        <w:tc>
          <w:tcPr>
            <w:tcW w:w="1256" w:type="dxa"/>
            <w:tcBorders>
              <w:tl2br w:val="nil"/>
              <w:tr2bl w:val="nil"/>
            </w:tcBorders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要求（%）</w:t>
            </w:r>
          </w:p>
        </w:tc>
        <w:tc>
          <w:tcPr>
            <w:tcW w:w="1684" w:type="dxa"/>
            <w:tcBorders>
              <w:tl2br w:val="nil"/>
              <w:tr2bl w:val="nil"/>
            </w:tcBorders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评判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6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  <w:t>W01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</w:p>
        </w:tc>
        <w:tc>
          <w:tcPr>
            <w:tcW w:w="154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楷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eastAsia="zh-CN"/>
              </w:rPr>
              <w:t>锌</w:t>
            </w:r>
          </w:p>
        </w:tc>
        <w:tc>
          <w:tcPr>
            <w:tcW w:w="127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平行</w:t>
            </w:r>
            <w:r>
              <w:rPr>
                <w:rFonts w:ascii="Times New Roman" w:hAnsi="Times New Roman" w:eastAsia="楷体" w:cs="Times New Roman"/>
                <w:szCs w:val="21"/>
              </w:rPr>
              <w:t>样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0.015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9.1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0.018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铬</w:t>
            </w:r>
          </w:p>
        </w:tc>
        <w:tc>
          <w:tcPr>
            <w:tcW w:w="127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平行</w:t>
            </w:r>
            <w:r>
              <w:rPr>
                <w:rFonts w:ascii="Times New Roman" w:hAnsi="Times New Roman" w:eastAsia="楷体" w:cs="Times New Roman"/>
                <w:szCs w:val="21"/>
              </w:rPr>
              <w:t>样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  <w:t>0.05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0.05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六价铬</w:t>
            </w:r>
          </w:p>
        </w:tc>
        <w:tc>
          <w:tcPr>
            <w:tcW w:w="127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平行</w:t>
            </w:r>
            <w:r>
              <w:rPr>
                <w:rFonts w:ascii="Times New Roman" w:hAnsi="Times New Roman" w:eastAsia="楷体" w:cs="Times New Roman"/>
                <w:szCs w:val="21"/>
              </w:rPr>
              <w:t>样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  <w:t>&lt;0.004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&lt;10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77" w:type="dxa"/>
            <w:tcBorders>
              <w:tl2br w:val="nil"/>
              <w:tr2bl w:val="nil"/>
            </w:tcBorders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kern w:val="2"/>
                <w:sz w:val="21"/>
                <w:szCs w:val="21"/>
                <w:lang w:val="en-US" w:eastAsia="zh-CN" w:bidi="ar-SA"/>
              </w:rPr>
              <w:t>&lt;0.004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铜</w:t>
            </w:r>
          </w:p>
        </w:tc>
        <w:tc>
          <w:tcPr>
            <w:tcW w:w="127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  <w:t>平行样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  <w:t>0.08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  <w:t>0.08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镍</w:t>
            </w:r>
          </w:p>
        </w:tc>
        <w:tc>
          <w:tcPr>
            <w:tcW w:w="127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  <w:t>平行样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0.046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1.1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</w:p>
        </w:tc>
        <w:tc>
          <w:tcPr>
            <w:tcW w:w="1977" w:type="dxa"/>
            <w:tcBorders>
              <w:tl2br w:val="nil"/>
              <w:tr2bl w:val="nil"/>
            </w:tcBorders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0.044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铁</w:t>
            </w:r>
          </w:p>
        </w:tc>
        <w:tc>
          <w:tcPr>
            <w:tcW w:w="127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</w:rPr>
              <w:t>平行</w:t>
            </w:r>
            <w:r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  <w:t>样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0.05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11.1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0.04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bookmarkStart w:id="10" w:name="_Hlk49942489"/>
          </w:p>
        </w:tc>
        <w:tc>
          <w:tcPr>
            <w:tcW w:w="154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汞</w:t>
            </w:r>
          </w:p>
        </w:tc>
        <w:tc>
          <w:tcPr>
            <w:tcW w:w="127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</w:rPr>
              <w:t>平行</w:t>
            </w:r>
            <w:r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  <w:t>样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5.80</w:t>
            </w:r>
            <w:r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szCs w:val="21"/>
                <w:vertAlign w:val="superscript"/>
                <w:lang w:val="en-US" w:eastAsia="zh-CN"/>
              </w:rPr>
              <w:t>-</w:t>
            </w:r>
            <w:r>
              <w:rPr>
                <w:rFonts w:hint="eastAsia" w:ascii="Times New Roman" w:hAnsi="Times New Roman" w:eastAsia="楷体" w:cs="Times New Roman"/>
                <w:szCs w:val="21"/>
                <w:vertAlign w:val="superscript"/>
                <w:lang w:val="en-US" w:eastAsia="zh-CN"/>
              </w:rPr>
              <w:t>4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0.87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20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bookmarkEnd w:id="10"/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</w:p>
        </w:tc>
        <w:tc>
          <w:tcPr>
            <w:tcW w:w="1977" w:type="dxa"/>
            <w:tcBorders>
              <w:tl2br w:val="nil"/>
              <w:tr2bl w:val="nil"/>
            </w:tcBorders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5.70</w:t>
            </w:r>
            <w:r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szCs w:val="21"/>
                <w:vertAlign w:val="superscript"/>
                <w:lang w:val="en-US" w:eastAsia="zh-CN"/>
              </w:rPr>
              <w:t>-</w:t>
            </w:r>
            <w:r>
              <w:rPr>
                <w:rFonts w:hint="eastAsia" w:ascii="Times New Roman" w:hAnsi="Times New Roman" w:eastAsia="楷体" w:cs="Times New Roman"/>
                <w:szCs w:val="21"/>
                <w:vertAlign w:val="superscript"/>
                <w:lang w:val="en-US" w:eastAsia="zh-CN"/>
              </w:rPr>
              <w:t>4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砷</w:t>
            </w:r>
          </w:p>
        </w:tc>
        <w:tc>
          <w:tcPr>
            <w:tcW w:w="127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</w:rPr>
              <w:t>平行</w:t>
            </w:r>
            <w:r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  <w:t>样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4.1</w:t>
            </w:r>
            <w:r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szCs w:val="21"/>
                <w:vertAlign w:val="superscript"/>
                <w:lang w:val="en-US" w:eastAsia="zh-CN"/>
              </w:rPr>
              <w:t>-</w:t>
            </w:r>
            <w:r>
              <w:rPr>
                <w:rFonts w:hint="eastAsia" w:ascii="Times New Roman" w:hAnsi="Times New Roman" w:eastAsia="楷体" w:cs="Times New Roman"/>
                <w:szCs w:val="21"/>
                <w:vertAlign w:val="superscript"/>
                <w:lang w:val="en-US" w:eastAsia="zh-CN"/>
              </w:rPr>
              <w:t>4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7.9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&lt;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20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116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54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1"/>
                <w:szCs w:val="21"/>
              </w:rPr>
            </w:pPr>
          </w:p>
        </w:tc>
        <w:tc>
          <w:tcPr>
            <w:tcW w:w="1977" w:type="dxa"/>
            <w:tcBorders>
              <w:tl2br w:val="nil"/>
              <w:tr2bl w:val="nil"/>
            </w:tcBorders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3.5</w:t>
            </w:r>
            <w:r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szCs w:val="21"/>
                <w:vertAlign w:val="superscript"/>
                <w:lang w:val="en-US" w:eastAsia="zh-CN"/>
              </w:rPr>
              <w:t>-</w:t>
            </w:r>
            <w:r>
              <w:rPr>
                <w:rFonts w:hint="eastAsia" w:ascii="Times New Roman" w:hAnsi="Times New Roman" w:eastAsia="楷体" w:cs="Times New Roman"/>
                <w:szCs w:val="21"/>
                <w:vertAlign w:val="superscript"/>
                <w:lang w:val="en-US" w:eastAsia="zh-CN"/>
              </w:rPr>
              <w:t>4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</w:tbl>
    <w:p>
      <w:pPr>
        <w:pStyle w:val="5"/>
        <w:spacing w:line="240" w:lineRule="auto"/>
        <w:ind w:left="-281" w:leftChars="-134"/>
        <w:rPr>
          <w:rFonts w:ascii="Times New Roman" w:hAnsi="Times New Roman" w:eastAsia="楷体" w:cs="Times New Roman"/>
          <w:b w:val="0"/>
          <w:bCs w:val="0"/>
          <w:color w:val="000000"/>
          <w:sz w:val="24"/>
          <w:lang w:eastAsia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000000"/>
          <w:sz w:val="24"/>
          <w:lang w:eastAsia="zh-CN"/>
        </w:rPr>
        <w:t xml:space="preserve">  注：“NC”表示结果无法计算</w:t>
      </w:r>
    </w:p>
    <w:p>
      <w:pPr>
        <w:adjustRightInd w:val="0"/>
        <w:snapToGrid w:val="0"/>
        <w:spacing w:line="400" w:lineRule="exact"/>
        <w:jc w:val="left"/>
        <w:rPr>
          <w:rFonts w:hint="eastAsia" w:ascii="Times New Roman" w:hAnsi="Times New Roman" w:eastAsia="楷体" w:cs="Times New Roman"/>
          <w:b/>
          <w:sz w:val="36"/>
          <w:szCs w:val="36"/>
        </w:rPr>
      </w:pPr>
    </w:p>
    <w:p>
      <w:pPr>
        <w:adjustRightInd w:val="0"/>
        <w:snapToGrid w:val="0"/>
        <w:spacing w:line="400" w:lineRule="exact"/>
        <w:jc w:val="left"/>
        <w:rPr>
          <w:rFonts w:hint="eastAsia" w:ascii="Times New Roman" w:hAnsi="Times New Roman" w:eastAsia="楷体" w:cs="Times New Roman"/>
          <w:b/>
          <w:sz w:val="36"/>
          <w:szCs w:val="36"/>
        </w:rPr>
      </w:pPr>
    </w:p>
    <w:p>
      <w:pPr>
        <w:adjustRightInd w:val="0"/>
        <w:snapToGrid w:val="0"/>
        <w:spacing w:line="400" w:lineRule="exact"/>
        <w:jc w:val="left"/>
        <w:rPr>
          <w:rFonts w:ascii="Times New Roman" w:hAnsi="Times New Roman" w:eastAsia="楷体" w:cs="Times New Roman"/>
          <w:b/>
          <w:sz w:val="36"/>
          <w:szCs w:val="36"/>
        </w:rPr>
      </w:pPr>
      <w:r>
        <w:rPr>
          <w:rFonts w:hint="eastAsia" w:ascii="Times New Roman" w:hAnsi="Times New Roman" w:eastAsia="楷体" w:cs="Times New Roman"/>
          <w:b/>
          <w:sz w:val="36"/>
          <w:szCs w:val="36"/>
        </w:rPr>
        <w:t>4、</w:t>
      </w:r>
      <w:r>
        <w:rPr>
          <w:rFonts w:ascii="Times New Roman" w:hAnsi="Times New Roman" w:eastAsia="楷体" w:cs="Times New Roman"/>
          <w:b/>
          <w:sz w:val="36"/>
          <w:szCs w:val="36"/>
        </w:rPr>
        <w:t>附件：</w:t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eastAsia="楷体" w:cs="Times New Roman"/>
          <w:bCs/>
          <w:sz w:val="24"/>
        </w:rPr>
      </w:pPr>
      <w:r>
        <w:rPr>
          <w:rFonts w:hint="eastAsia" w:ascii="Times New Roman" w:hAnsi="Times New Roman" w:eastAsia="楷体" w:cs="Times New Roman"/>
          <w:bCs/>
          <w:sz w:val="24"/>
        </w:rPr>
        <w:t>4</w:t>
      </w:r>
      <w:r>
        <w:rPr>
          <w:rFonts w:ascii="Times New Roman" w:hAnsi="Times New Roman" w:eastAsia="楷体" w:cs="Times New Roman"/>
          <w:bCs/>
          <w:sz w:val="24"/>
        </w:rPr>
        <w:t>.1</w:t>
      </w:r>
      <w:r>
        <w:rPr>
          <w:rFonts w:hint="eastAsia" w:ascii="Times New Roman" w:hAnsi="Times New Roman" w:eastAsia="楷体" w:cs="Times New Roman"/>
          <w:bCs/>
          <w:sz w:val="24"/>
          <w:lang w:val="en-US" w:eastAsia="zh-CN"/>
        </w:rPr>
        <w:t>浙江永立钢业</w:t>
      </w:r>
      <w:r>
        <w:rPr>
          <w:rFonts w:hint="eastAsia" w:ascii="Times New Roman" w:hAnsi="Times New Roman" w:eastAsia="楷体" w:cs="Times New Roman"/>
          <w:bCs/>
          <w:sz w:val="24"/>
        </w:rPr>
        <w:t>有限公司地块土壤及地下水检测检测方案</w:t>
      </w:r>
      <w:r>
        <w:rPr>
          <w:rFonts w:ascii="Times New Roman" w:hAnsi="Times New Roman" w:eastAsia="楷体" w:cs="Times New Roman"/>
          <w:bCs/>
          <w:sz w:val="24"/>
        </w:rPr>
        <w:t>（委托方提供）：</w:t>
      </w:r>
    </w:p>
    <w:p>
      <w:pPr>
        <w:adjustRightInd w:val="0"/>
        <w:snapToGrid w:val="0"/>
        <w:spacing w:line="400" w:lineRule="exact"/>
        <w:ind w:left="-281" w:leftChars="-134"/>
        <w:jc w:val="left"/>
        <w:rPr>
          <w:rFonts w:ascii="Times New Roman" w:hAnsi="Times New Roman" w:eastAsia="楷体" w:cs="Times New Roman"/>
          <w:bCs/>
          <w:sz w:val="24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81280</wp:posOffset>
            </wp:positionV>
            <wp:extent cx="5791200" cy="7229475"/>
            <wp:effectExtent l="0" t="0" r="0" b="9525"/>
            <wp:wrapNone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400" w:lineRule="exact"/>
        <w:ind w:left="-281" w:leftChars="-134"/>
        <w:jc w:val="left"/>
        <w:rPr>
          <w:rFonts w:ascii="Times New Roman" w:hAnsi="Times New Roman" w:eastAsia="楷体" w:cs="Times New Roman"/>
          <w:bCs/>
          <w:sz w:val="24"/>
        </w:rPr>
      </w:pPr>
    </w:p>
    <w:p>
      <w:pPr>
        <w:adjustRightInd w:val="0"/>
        <w:snapToGrid w:val="0"/>
        <w:spacing w:line="400" w:lineRule="exact"/>
        <w:ind w:left="-281" w:leftChars="-134"/>
        <w:jc w:val="left"/>
        <w:rPr>
          <w:rFonts w:ascii="Times New Roman" w:hAnsi="Times New Roman" w:eastAsia="楷体" w:cs="Times New Roman"/>
          <w:bCs/>
          <w:sz w:val="24"/>
        </w:rPr>
      </w:pPr>
    </w:p>
    <w:p>
      <w:pPr>
        <w:adjustRightInd w:val="0"/>
        <w:snapToGrid w:val="0"/>
        <w:spacing w:line="400" w:lineRule="exact"/>
        <w:ind w:left="-281" w:leftChars="-134"/>
        <w:jc w:val="left"/>
        <w:rPr>
          <w:rFonts w:ascii="Times New Roman" w:hAnsi="Times New Roman" w:eastAsia="楷体" w:cs="Times New Roman"/>
          <w:bCs/>
          <w:sz w:val="24"/>
        </w:rPr>
      </w:pPr>
    </w:p>
    <w:p>
      <w:pPr>
        <w:adjustRightInd w:val="0"/>
        <w:snapToGrid w:val="0"/>
        <w:spacing w:line="400" w:lineRule="exact"/>
        <w:ind w:left="-281" w:leftChars="-134"/>
        <w:jc w:val="left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hint="default" w:ascii="Times New Roman" w:hAnsi="Times New Roman" w:eastAsia="楷体" w:cs="Times New Roman"/>
          <w:bCs/>
          <w:sz w:val="24"/>
          <w:lang w:val="en-US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6985</wp:posOffset>
            </wp:positionV>
            <wp:extent cx="5210175" cy="6886575"/>
            <wp:effectExtent l="0" t="0" r="9525" b="9525"/>
            <wp:wrapNone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</w:p>
    <w:p>
      <w:pPr>
        <w:tabs>
          <w:tab w:val="left" w:pos="11632"/>
        </w:tabs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  <w:sectPr>
          <w:headerReference r:id="rId3" w:type="default"/>
          <w:pgSz w:w="11906" w:h="16838"/>
          <w:pgMar w:top="1440" w:right="1236" w:bottom="1440" w:left="180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0" w:num="1"/>
          <w:docGrid w:type="lines" w:linePitch="312" w:charSpace="0"/>
        </w:sectPr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Cs/>
          <w:sz w:val="24"/>
        </w:rPr>
      </w:pPr>
      <w:r>
        <w:rPr>
          <w:rFonts w:ascii="Times New Roman" w:hAnsi="Times New Roman" w:eastAsia="楷体" w:cs="Times New Roman"/>
          <w:bCs/>
          <w:sz w:val="24"/>
        </w:rPr>
        <w:t>4.</w:t>
      </w:r>
      <w:r>
        <w:rPr>
          <w:rFonts w:hint="eastAsia" w:ascii="Times New Roman" w:hAnsi="Times New Roman" w:eastAsia="楷体" w:cs="Times New Roman"/>
          <w:bCs/>
          <w:sz w:val="24"/>
          <w:lang w:val="en-US" w:eastAsia="zh-CN"/>
        </w:rPr>
        <w:t>2</w:t>
      </w:r>
      <w:r>
        <w:rPr>
          <w:rFonts w:ascii="Times New Roman" w:hAnsi="Times New Roman" w:eastAsia="楷体" w:cs="Times New Roman"/>
          <w:bCs/>
          <w:sz w:val="24"/>
        </w:rPr>
        <w:t>单位资质证书</w:t>
      </w:r>
      <w:r>
        <w:rPr>
          <w:rFonts w:hint="eastAsia" w:ascii="Times New Roman" w:hAnsi="Times New Roman" w:eastAsia="楷体" w:cs="Times New Roman"/>
          <w:bCs/>
          <w:sz w:val="24"/>
        </w:rPr>
        <w:t>：</w:t>
      </w:r>
    </w:p>
    <w:p>
      <w:pPr>
        <w:rPr>
          <w:rFonts w:ascii="楷体" w:hAnsi="楷体" w:eastAsia="楷体" w:cs="楷体"/>
          <w:sz w:val="24"/>
          <w:szCs w:val="32"/>
        </w:rPr>
      </w:pPr>
      <w:r>
        <w:rPr>
          <w:rFonts w:hint="eastAsia" w:ascii="楷体" w:hAnsi="楷体" w:eastAsia="楷体" w:cs="楷体"/>
          <w:sz w:val="24"/>
          <w:szCs w:val="32"/>
        </w:rPr>
        <w:t>浙江浙海环保科技有限公司检验检测机构资质认定证书：</w:t>
      </w:r>
    </w:p>
    <w:p>
      <w:pPr>
        <w:pStyle w:val="10"/>
      </w:pPr>
      <w:r>
        <w:rPr>
          <w:rFonts w:hint="eastAsia" w:ascii="楷体" w:hAnsi="楷体" w:eastAsia="楷体" w:cs="楷体"/>
          <w:szCs w:val="32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9525</wp:posOffset>
            </wp:positionV>
            <wp:extent cx="5790565" cy="8408670"/>
            <wp:effectExtent l="12700" t="12700" r="26035" b="17780"/>
            <wp:wrapNone/>
            <wp:docPr id="10" name="图片 45" descr="_DONQ}PH$6EI}DM(%$IEP3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5" descr="_DONQ}PH$6EI}DM(%$IEP3B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8F2C7">
                            <a:alpha val="100000"/>
                          </a:srgbClr>
                        </a:clrFrom>
                        <a:clrTo>
                          <a:srgbClr val="F8F2C7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84086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pStyle w:val="10"/>
      </w:pPr>
    </w:p>
    <w:p>
      <w:pPr>
        <w:spacing w:line="440" w:lineRule="exact"/>
        <w:ind w:right="-340" w:rightChars="-162"/>
        <w:rPr>
          <w:rFonts w:ascii="Times New Roman" w:hAnsi="Times New Roman" w:eastAsia="楷体" w:cs="Times New Roman"/>
          <w:b/>
          <w:sz w:val="24"/>
          <w:u w:val="single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  <w:r>
        <w:rPr>
          <w:rFonts w:ascii="楷体" w:hAnsi="楷体" w:eastAsia="楷体" w:cs="楷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109220</wp:posOffset>
                </wp:positionV>
                <wp:extent cx="4552950" cy="1132840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0000">
                          <a:off x="0" y="0"/>
                          <a:ext cx="4552950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楷体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浙江永立钢业</w:t>
                            </w: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有限公司地块土壤及地下水检测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15pt;margin-top:8.6pt;height:89.2pt;width:358.5pt;rotation:-1245184f;z-index:251641856;v-text-anchor:middle;mso-width-relative:page;mso-height-relative:page;" filled="f" stroked="f" coordsize="21600,21600" o:gfxdata="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nRyktkAAAAKAQAADwAAAAAAAAABACAAAAAiAAAAZHJzL2Rvd25yZXYueG1s&#10;UEsBAhQAFAAAAAgAh07iQKxuVVNpAgAAvwQAAA4AAAAAAAAAAQAgAAAAKAEAAGRycy9lMm9Eb2Mu&#10;eG1sUEsFBgAAAAAGAAYAWQEAAAM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eastAsia="楷体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浙江永立钢业</w:t>
                      </w: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有限公司地块土壤及地下水检测</w:t>
                      </w:r>
                    </w:p>
                    <w:p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Times New Roman" w:hAnsi="Times New Roman" w:eastAsia="楷体" w:cs="Times New Roman"/>
          <w:bCs/>
          <w:sz w:val="24"/>
        </w:rPr>
        <w:sectPr>
          <w:headerReference r:id="rId4" w:type="default"/>
          <w:pgSz w:w="11906" w:h="16838"/>
          <w:pgMar w:top="1440" w:right="1236" w:bottom="1440" w:left="180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8"/>
          <w:cols w:space="0" w:num="1"/>
          <w:docGrid w:type="lines" w:linePitch="312" w:charSpace="0"/>
        </w:sectPr>
      </w:pPr>
      <w:r>
        <w:rPr>
          <w:rFonts w:ascii="楷体" w:hAnsi="楷体" w:eastAsia="楷体" w:cs="楷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3736340</wp:posOffset>
                </wp:positionV>
                <wp:extent cx="4552950" cy="582930"/>
                <wp:effectExtent l="0" t="0" r="0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0000">
                          <a:off x="0" y="0"/>
                          <a:ext cx="455295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楷体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浙江朗华</w:t>
                            </w:r>
                            <w:r>
                              <w:rPr>
                                <w:rFonts w:ascii="Times New Roman" w:eastAsia="楷体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制药</w:t>
                            </w: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有限公司地块土壤及地下水检测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1pt;margin-top:294.2pt;height:45.9pt;width:358.5pt;rotation:-1245184f;z-index:251666432;v-text-anchor:middle;mso-width-relative:page;mso-height-relative:page;" filled="f" stroked="f" coordsize="21600,21600" o:gfxdata="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B4p3tkAAAALAQAADwAAAAAAAAABACAAAAAiAAAAZHJzL2Rvd25yZXYueG1s&#10;UEsBAhQAFAAAAAgAh07iQLqL+slpAgAAvgQAAA4AAAAAAAAAAQAgAAAAKAEAAGRycy9lMm9Eb2Mu&#10;eG1sUEsFBgAAAAAGAAYAWQEAAAM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eastAsia="楷体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浙江朗华</w:t>
                      </w:r>
                      <w:r>
                        <w:rPr>
                          <w:rFonts w:ascii="Times New Roman" w:eastAsia="楷体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制药</w:t>
                      </w: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有限公司地块土壤及地下水检测</w:t>
                      </w:r>
                    </w:p>
                    <w:p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32"/>
        </w:rPr>
        <w:t>分包单位检验检测机构资质认定证书：</w:t>
      </w:r>
    </w:p>
    <w:p>
      <w:pPr>
        <w:rPr>
          <w:rFonts w:ascii="Times New Roman" w:hAnsi="Times New Roman" w:eastAsia="楷体" w:cs="Times New Roman"/>
          <w:bCs/>
          <w:sz w:val="24"/>
        </w:rPr>
      </w:pPr>
      <w:r>
        <w:rPr>
          <w:rFonts w:hint="eastAsia" w:ascii="Times New Roman" w:hAnsi="Times New Roman" w:eastAsia="楷体" w:cs="Times New Roman"/>
          <w:bCs/>
          <w:sz w:val="24"/>
        </w:rPr>
        <w:t>分包</w:t>
      </w:r>
      <w:r>
        <w:rPr>
          <w:rFonts w:ascii="Times New Roman" w:hAnsi="Times New Roman" w:eastAsia="楷体" w:cs="Times New Roman"/>
          <w:bCs/>
          <w:sz w:val="24"/>
        </w:rPr>
        <w:t>单位</w:t>
      </w:r>
      <w:r>
        <w:rPr>
          <w:rFonts w:hint="eastAsia" w:ascii="Times New Roman" w:hAnsi="Times New Roman" w:eastAsia="楷体" w:cs="Times New Roman"/>
          <w:bCs/>
          <w:sz w:val="24"/>
        </w:rPr>
        <w:t>资质</w:t>
      </w:r>
      <w:r>
        <w:rPr>
          <w:rFonts w:ascii="Times New Roman" w:hAnsi="Times New Roman" w:eastAsia="楷体" w:cs="Times New Roman"/>
          <w:bCs/>
          <w:sz w:val="24"/>
        </w:rPr>
        <w:t>：</w:t>
      </w:r>
    </w:p>
    <w:p>
      <w:pPr>
        <w:rPr>
          <w:rFonts w:ascii="Times New Roman" w:hAnsi="Times New Roman" w:eastAsia="楷体" w:cs="Times New Roman"/>
          <w:bCs/>
          <w:sz w:val="24"/>
        </w:rPr>
      </w:pPr>
      <w:r>
        <w:rPr>
          <w:rFonts w:hint="eastAsia" w:ascii="楷体" w:hAnsi="楷体" w:eastAsia="楷体" w:cs="楷体"/>
          <w:kern w:val="0"/>
          <w:sz w:val="24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-156210</wp:posOffset>
            </wp:positionH>
            <wp:positionV relativeFrom="paragraph">
              <wp:posOffset>145415</wp:posOffset>
            </wp:positionV>
            <wp:extent cx="5827395" cy="8844915"/>
            <wp:effectExtent l="9525" t="9525" r="11430" b="22860"/>
            <wp:wrapNone/>
            <wp:docPr id="5" name="图片 5" descr="普洛塞斯有限公司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普洛塞斯有限公司资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844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rPr>
          <w:rFonts w:ascii="Times New Roman" w:hAnsi="Times New Roman" w:eastAsia="楷体" w:cs="Times New Roman"/>
          <w:bCs/>
          <w:sz w:val="24"/>
        </w:rPr>
        <w:sectPr>
          <w:pgSz w:w="11906" w:h="16838"/>
          <w:pgMar w:top="1440" w:right="1236" w:bottom="1440" w:left="180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2" w:charSpace="0"/>
        </w:sectPr>
      </w:pPr>
      <w:r>
        <w:rPr>
          <w:rFonts w:ascii="楷体" w:hAnsi="楷体" w:eastAsia="楷体" w:cs="楷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3131185</wp:posOffset>
                </wp:positionV>
                <wp:extent cx="4552950" cy="1727835"/>
                <wp:effectExtent l="0" t="0" r="0" b="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0000">
                          <a:off x="0" y="0"/>
                          <a:ext cx="4552950" cy="172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楷体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浙江永立钢业</w:t>
                            </w: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有限公司地块土壤及地下水检测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75pt;margin-top:246.55pt;height:136.05pt;width:358.5pt;rotation:-1245184f;z-index:251668480;v-text-anchor:middle;mso-width-relative:page;mso-height-relative:page;" filled="f" stroked="f" coordsize="21600,21600" o:gfxdata="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KnxhfDbAAAACgEAAA8AAAAAAAAAAQAgAAAAIgAAAGRycy9kb3ducmV2&#10;LnhtbFBLAQIUABQAAAAIAIdO4kD045InawIAAL8EAAAOAAAAAAAAAAEAIAAAACoBAABkcnMvZTJv&#10;RG9jLnhtbFBLBQYAAAAABgAGAFkBAAAH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eastAsia="楷体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浙江永立钢业</w:t>
                      </w: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有限公司地块土壤及地下水检测</w:t>
                      </w:r>
                    </w:p>
                    <w:p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楷体" w:cs="Times New Roman"/>
          <w:bCs/>
          <w:sz w:val="24"/>
        </w:rPr>
        <w:br w:type="page"/>
      </w:r>
    </w:p>
    <w:p>
      <w:pPr>
        <w:widowControl/>
        <w:rPr>
          <w:rFonts w:hint="eastAsia" w:ascii="Times New Roman" w:hAnsi="Times New Roman" w:eastAsia="楷体" w:cs="Times New Roman"/>
          <w:bCs/>
          <w:sz w:val="24"/>
          <w:lang w:eastAsia="zh-CN"/>
        </w:rPr>
        <w:sectPr>
          <w:pgSz w:w="11906" w:h="16838"/>
          <w:pgMar w:top="1440" w:right="1236" w:bottom="1440" w:left="180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2" w:charSpace="0"/>
        </w:sectPr>
      </w:pPr>
      <w:r>
        <w:rPr>
          <w:rFonts w:hint="eastAsia" w:ascii="Times New Roman" w:hAnsi="Times New Roman" w:eastAsia="楷体" w:cs="Times New Roman"/>
          <w:bCs/>
          <w:sz w:val="24"/>
        </w:rPr>
        <w:t>4.</w:t>
      </w:r>
      <w:r>
        <w:rPr>
          <w:rFonts w:hint="eastAsia" w:ascii="Times New Roman" w:hAnsi="Times New Roman" w:eastAsia="楷体" w:cs="Times New Roman"/>
          <w:bCs/>
          <w:sz w:val="24"/>
          <w:lang w:val="en-US" w:eastAsia="zh-CN"/>
        </w:rPr>
        <w:t>3</w:t>
      </w:r>
      <w:r>
        <w:rPr>
          <w:rFonts w:hint="eastAsia" w:ascii="Times New Roman" w:hAnsi="Times New Roman" w:eastAsia="楷体" w:cs="Times New Roman"/>
          <w:bCs/>
          <w:sz w:val="24"/>
        </w:rPr>
        <w:t>分包报告</w:t>
      </w:r>
    </w:p>
    <w:p>
      <w:pPr>
        <w:widowControl/>
        <w:rPr>
          <w:rFonts w:hint="eastAsia" w:ascii="Times New Roman" w:hAnsi="Times New Roman" w:eastAsia="楷体" w:cs="Times New Roman"/>
          <w:bCs/>
          <w:sz w:val="24"/>
          <w:lang w:eastAsia="zh-CN"/>
        </w:rPr>
        <w:sectPr>
          <w:pgSz w:w="11906" w:h="16838"/>
          <w:pgMar w:top="1440" w:right="1236" w:bottom="1440" w:left="180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2" w:charSpace="0"/>
        </w:sect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55245</wp:posOffset>
            </wp:positionV>
            <wp:extent cx="5666105" cy="8684895"/>
            <wp:effectExtent l="0" t="0" r="10795" b="1905"/>
            <wp:wrapNone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868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rPr>
          <w:rFonts w:ascii="Times New Roman" w:hAnsi="Times New Roman" w:eastAsia="楷体" w:cs="Times New Roman"/>
          <w:bCs/>
          <w:sz w:val="24"/>
        </w:rPr>
        <w:sectPr>
          <w:pgSz w:w="11906" w:h="16838"/>
          <w:pgMar w:top="1440" w:right="1236" w:bottom="1440" w:left="180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2" w:charSpace="0"/>
        </w:sectPr>
      </w:pPr>
    </w:p>
    <w:p>
      <w:pPr>
        <w:widowControl/>
        <w:rPr>
          <w:rFonts w:ascii="Times New Roman" w:hAnsi="Times New Roman" w:eastAsia="楷体" w:cs="Times New Roman"/>
          <w:bCs/>
          <w:sz w:val="24"/>
        </w:rPr>
        <w:sectPr>
          <w:pgSz w:w="11906" w:h="16838"/>
          <w:pgMar w:top="1440" w:right="1236" w:bottom="1440" w:left="180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2" w:charSpace="0"/>
        </w:sectPr>
      </w:pPr>
    </w:p>
    <w:p>
      <w:pPr>
        <w:widowControl/>
        <w:rPr>
          <w:rFonts w:ascii="Times New Roman" w:hAnsi="Times New Roman" w:eastAsia="楷体" w:cs="Times New Roman"/>
          <w:bCs/>
          <w:sz w:val="24"/>
        </w:rPr>
      </w:pPr>
      <w:r>
        <w:rPr>
          <w:rFonts w:ascii="Times New Roman" w:hAnsi="Times New Roman" w:eastAsia="楷体" w:cs="Times New Roman"/>
          <w:bCs/>
          <w:sz w:val="24"/>
        </w:rPr>
        <w:t>4.</w:t>
      </w:r>
      <w:r>
        <w:rPr>
          <w:rFonts w:hint="eastAsia" w:ascii="Times New Roman" w:hAnsi="Times New Roman" w:eastAsia="楷体" w:cs="Times New Roman"/>
          <w:bCs/>
          <w:sz w:val="24"/>
          <w:lang w:val="en-US" w:eastAsia="zh-CN"/>
        </w:rPr>
        <w:t>4</w:t>
      </w:r>
      <w:r>
        <w:rPr>
          <w:rFonts w:ascii="Times New Roman" w:hAnsi="Times New Roman" w:eastAsia="楷体" w:cs="Times New Roman"/>
          <w:bCs/>
          <w:sz w:val="24"/>
        </w:rPr>
        <w:t>现场采样样品照片</w:t>
      </w:r>
    </w:p>
    <w:tbl>
      <w:tblPr>
        <w:tblStyle w:val="7"/>
        <w:tblW w:w="9779" w:type="dxa"/>
        <w:tblInd w:w="-202" w:type="dxa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dotDotDash" w:color="000000" w:themeColor="text1" w:sz="4" w:space="0"/>
          <w:insideV w:val="dotDotDash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9"/>
        <w:gridCol w:w="4890"/>
      </w:tblGrid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7" w:hRule="atLeast"/>
        </w:trPr>
        <w:tc>
          <w:tcPr>
            <w:tcW w:w="4889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25400</wp:posOffset>
                  </wp:positionV>
                  <wp:extent cx="3089275" cy="4006850"/>
                  <wp:effectExtent l="0" t="0" r="15875" b="12700"/>
                  <wp:wrapNone/>
                  <wp:docPr id="33" name="图片 33" descr="f7b9fc649c0fcb68907e82995af51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f7b9fc649c0fcb68907e82995af510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400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24765</wp:posOffset>
                  </wp:positionV>
                  <wp:extent cx="3018155" cy="3983355"/>
                  <wp:effectExtent l="0" t="0" r="10795" b="17145"/>
                  <wp:wrapNone/>
                  <wp:docPr id="34" name="图片 34" descr="d07e2fbbce6685fcb995e8ad11abc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07e2fbbce6685fcb995e8ad11abc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55" cy="398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2" w:hRule="atLeast"/>
        </w:trPr>
        <w:tc>
          <w:tcPr>
            <w:tcW w:w="4889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34925</wp:posOffset>
                  </wp:positionV>
                  <wp:extent cx="3041650" cy="4248785"/>
                  <wp:effectExtent l="0" t="0" r="6350" b="18415"/>
                  <wp:wrapNone/>
                  <wp:docPr id="32" name="图片 32" descr="c691c8ad56a34ac7ff13374ab8bf1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691c8ad56a34ac7ff13374ab8bf13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424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</w:p>
        </w:tc>
        <w:tc>
          <w:tcPr>
            <w:tcW w:w="4890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35560</wp:posOffset>
                  </wp:positionV>
                  <wp:extent cx="3066415" cy="4237355"/>
                  <wp:effectExtent l="0" t="0" r="635" b="10795"/>
                  <wp:wrapNone/>
                  <wp:docPr id="30" name="图片 30" descr="079e05abb034f4728a1f3da2b55b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079e05abb034f4728a1f3da2b55b4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15" cy="423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779" w:type="dxa"/>
            <w:gridSpan w:val="2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S01车间</w:t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7" w:hRule="atLeast"/>
        </w:trPr>
        <w:tc>
          <w:tcPr>
            <w:tcW w:w="4889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36830</wp:posOffset>
                  </wp:positionV>
                  <wp:extent cx="3030220" cy="3983355"/>
                  <wp:effectExtent l="0" t="0" r="17780" b="17145"/>
                  <wp:wrapNone/>
                  <wp:docPr id="38" name="图片 38" descr="b6d79345d2eb2dc50f5916375eae3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b6d79345d2eb2dc50f5916375eae37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20" cy="398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12700</wp:posOffset>
                  </wp:positionV>
                  <wp:extent cx="3053715" cy="3983355"/>
                  <wp:effectExtent l="0" t="0" r="13335" b="17145"/>
                  <wp:wrapNone/>
                  <wp:docPr id="39" name="图片 39" descr="553413e390f40be9489e62756fe9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553413e390f40be9489e62756fe95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15" cy="398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2" w:hRule="atLeast"/>
        </w:trPr>
        <w:tc>
          <w:tcPr>
            <w:tcW w:w="4889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36195</wp:posOffset>
                  </wp:positionV>
                  <wp:extent cx="3053715" cy="4273550"/>
                  <wp:effectExtent l="0" t="0" r="13335" b="12700"/>
                  <wp:wrapNone/>
                  <wp:docPr id="35" name="图片 35" descr="026149c7070849c1ff6f0b4fbb29e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026149c7070849c1ff6f0b4fbb29e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15" cy="427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48895</wp:posOffset>
                  </wp:positionV>
                  <wp:extent cx="3005455" cy="4212590"/>
                  <wp:effectExtent l="0" t="0" r="4445" b="16510"/>
                  <wp:wrapNone/>
                  <wp:docPr id="36" name="图片 36" descr="2840bd133b9939736880b1dee9c2c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2840bd133b9939736880b1dee9c2c0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55" cy="421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779" w:type="dxa"/>
            <w:gridSpan w:val="2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S02污水站</w:t>
            </w:r>
          </w:p>
        </w:tc>
      </w:tr>
    </w:tbl>
    <w:p>
      <w:pPr>
        <w:sectPr>
          <w:pgSz w:w="11906" w:h="16838"/>
          <w:pgMar w:top="1440" w:right="1236" w:bottom="1440" w:left="180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2" w:charSpace="0"/>
        </w:sectPr>
      </w:pPr>
    </w:p>
    <w:tbl>
      <w:tblPr>
        <w:tblStyle w:val="7"/>
        <w:tblW w:w="9779" w:type="dxa"/>
        <w:tblInd w:w="-202" w:type="dxa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dotDotDash" w:color="000000" w:themeColor="text1" w:sz="4" w:space="0"/>
          <w:insideV w:val="dotDotDash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9"/>
        <w:gridCol w:w="4890"/>
      </w:tblGrid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7" w:hRule="atLeast"/>
        </w:trPr>
        <w:tc>
          <w:tcPr>
            <w:tcW w:w="4888" w:type="dxa"/>
            <w:vMerge w:val="restart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24765</wp:posOffset>
                  </wp:positionV>
                  <wp:extent cx="3041650" cy="3995420"/>
                  <wp:effectExtent l="0" t="0" r="6350" b="5080"/>
                  <wp:wrapNone/>
                  <wp:docPr id="42" name="图片 42" descr="6648b81539051ad90f055ba2e4c7d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6648b81539051ad90f055ba2e4c7d0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399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1" w:type="dxa"/>
            <w:vMerge w:val="restart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24765</wp:posOffset>
                  </wp:positionV>
                  <wp:extent cx="3041650" cy="3947160"/>
                  <wp:effectExtent l="0" t="0" r="6350" b="15240"/>
                  <wp:wrapNone/>
                  <wp:docPr id="40" name="图片 40" descr="9e6f2477135daeefcefe7d81b8b26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9e6f2477135daeefcefe7d81b8b266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2" w:hRule="atLeast"/>
        </w:trPr>
        <w:tc>
          <w:tcPr>
            <w:tcW w:w="4890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48895</wp:posOffset>
                  </wp:positionV>
                  <wp:extent cx="3018155" cy="4297045"/>
                  <wp:effectExtent l="0" t="0" r="10795" b="8255"/>
                  <wp:wrapNone/>
                  <wp:docPr id="44" name="图片 44" descr="17b801562a8bcfe0df6b4a79e5e96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7b801562a8bcfe0df6b4a79e5e966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55" cy="429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9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36195</wp:posOffset>
                  </wp:positionV>
                  <wp:extent cx="3066415" cy="4260850"/>
                  <wp:effectExtent l="0" t="0" r="635" b="6350"/>
                  <wp:wrapNone/>
                  <wp:docPr id="43" name="图片 43" descr="74bf4d7fb79fc63ec17479ed2e97e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74bf4d7fb79fc63ec17479ed2e97e7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15" cy="426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779" w:type="dxa"/>
            <w:gridSpan w:val="2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S03罐区</w:t>
            </w:r>
          </w:p>
        </w:tc>
      </w:tr>
    </w:tbl>
    <w:p>
      <w:pPr>
        <w:sectPr>
          <w:pgSz w:w="11906" w:h="16838"/>
          <w:pgMar w:top="1440" w:right="1236" w:bottom="1440" w:left="180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2" w:charSpace="0"/>
        </w:sectPr>
      </w:pPr>
    </w:p>
    <w:tbl>
      <w:tblPr>
        <w:tblStyle w:val="7"/>
        <w:tblW w:w="9779" w:type="dxa"/>
        <w:tblInd w:w="-202" w:type="dxa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dotDotDash" w:color="000000" w:themeColor="text1" w:sz="4" w:space="0"/>
          <w:insideV w:val="dotDotDash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9"/>
        <w:gridCol w:w="4890"/>
      </w:tblGrid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7" w:hRule="atLeast"/>
        </w:trPr>
        <w:tc>
          <w:tcPr>
            <w:tcW w:w="4888" w:type="dxa"/>
            <w:vMerge w:val="restart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34290</wp:posOffset>
                  </wp:positionV>
                  <wp:extent cx="3034665" cy="3914140"/>
                  <wp:effectExtent l="0" t="0" r="13335" b="10160"/>
                  <wp:wrapNone/>
                  <wp:docPr id="45" name="图片 45" descr="1db1a8009a3e4f5a989f817430999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1db1a8009a3e4f5a989f817430999a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65" cy="391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1" w:type="dxa"/>
            <w:vMerge w:val="restart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22225</wp:posOffset>
                  </wp:positionV>
                  <wp:extent cx="3059430" cy="3950335"/>
                  <wp:effectExtent l="0" t="0" r="7620" b="12065"/>
                  <wp:wrapNone/>
                  <wp:docPr id="47" name="图片 47" descr="90db55429a288b9249c1faef1a602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90db55429a288b9249c1faef1a6023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2" w:hRule="atLeast"/>
        </w:trPr>
        <w:tc>
          <w:tcPr>
            <w:tcW w:w="4890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45720</wp:posOffset>
                  </wp:positionV>
                  <wp:extent cx="3046730" cy="4239895"/>
                  <wp:effectExtent l="0" t="0" r="1270" b="8255"/>
                  <wp:wrapNone/>
                  <wp:docPr id="48" name="图片 48" descr="cdec81e5efff98287489c62b90e13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dec81e5efff98287489c62b90e13bb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30" cy="423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9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10160</wp:posOffset>
                  </wp:positionV>
                  <wp:extent cx="2999105" cy="4275455"/>
                  <wp:effectExtent l="0" t="0" r="10795" b="10795"/>
                  <wp:wrapNone/>
                  <wp:docPr id="46" name="图片 46" descr="1133e6ba89c6acdb8d96770da24ac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133e6ba89c6acdb8d96770da24ac7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427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779" w:type="dxa"/>
            <w:gridSpan w:val="2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W01车间</w:t>
            </w:r>
          </w:p>
        </w:tc>
      </w:tr>
    </w:tbl>
    <w:p>
      <w:pPr>
        <w:sectPr>
          <w:pgSz w:w="11906" w:h="16838"/>
          <w:pgMar w:top="1440" w:right="1236" w:bottom="1440" w:left="180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2" w:charSpace="0"/>
        </w:sectPr>
      </w:pPr>
    </w:p>
    <w:tbl>
      <w:tblPr>
        <w:tblStyle w:val="7"/>
        <w:tblW w:w="9779" w:type="dxa"/>
        <w:tblInd w:w="-202" w:type="dxa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dotDotDash" w:color="000000" w:themeColor="text1" w:sz="4" w:space="0"/>
          <w:insideV w:val="dotDotDash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9"/>
        <w:gridCol w:w="4890"/>
      </w:tblGrid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4" w:hRule="atLeast"/>
        </w:trPr>
        <w:tc>
          <w:tcPr>
            <w:tcW w:w="4889" w:type="dxa"/>
            <w:vMerge w:val="restart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23495</wp:posOffset>
                  </wp:positionV>
                  <wp:extent cx="3022600" cy="3514725"/>
                  <wp:effectExtent l="0" t="0" r="6350" b="9525"/>
                  <wp:wrapNone/>
                  <wp:docPr id="49" name="图片 49" descr="1310d5bf0646a4159289534c24c98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1310d5bf0646a4159289534c24c98c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vMerge w:val="restart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34290</wp:posOffset>
                  </wp:positionV>
                  <wp:extent cx="3082925" cy="3515995"/>
                  <wp:effectExtent l="0" t="0" r="3175" b="8255"/>
                  <wp:wrapNone/>
                  <wp:docPr id="51" name="图片 51" descr="efb93f9f71b2b672acbc7dc5f7702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efb93f9f71b2b672acbc7dc5f77025b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25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9" w:hRule="atLeast"/>
        </w:trPr>
        <w:tc>
          <w:tcPr>
            <w:tcW w:w="4889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34290</wp:posOffset>
                  </wp:positionV>
                  <wp:extent cx="2974975" cy="3491865"/>
                  <wp:effectExtent l="0" t="0" r="15875" b="13335"/>
                  <wp:wrapNone/>
                  <wp:docPr id="52" name="图片 52" descr="bd87911d763e04ae1a25de1a296a8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bd87911d763e04ae1a25de1a296a8d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349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3034665" cy="3528060"/>
                  <wp:effectExtent l="0" t="0" r="13335" b="15240"/>
                  <wp:wrapNone/>
                  <wp:docPr id="50" name="图片 50" descr="fb20b9a6b082fc8f07b05ff1af4ca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fb20b9a6b082fc8f07b05ff1af4caa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65" cy="352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779" w:type="dxa"/>
            <w:gridSpan w:val="2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Times New Roman" w:hAnsi="Times New Roman" w:eastAsia="楷体" w:cs="Times New Roman"/>
                <w:sz w:val="24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W02污水站</w:t>
            </w:r>
          </w:p>
        </w:tc>
      </w:tr>
    </w:tbl>
    <w:p>
      <w:pPr>
        <w:ind w:right="-340" w:rightChars="-162"/>
        <w:rPr>
          <w:rFonts w:ascii="Times New Roman" w:hAnsi="Times New Roman" w:eastAsia="楷体" w:cs="Times New Roman"/>
          <w:b/>
          <w:sz w:val="24"/>
          <w:u w:val="single"/>
        </w:rPr>
      </w:pPr>
    </w:p>
    <w:p>
      <w:pPr>
        <w:ind w:right="-340" w:rightChars="-162"/>
        <w:rPr>
          <w:rFonts w:ascii="Times New Roman" w:hAnsi="Times New Roman" w:eastAsia="楷体" w:cs="Times New Roman"/>
          <w:b/>
          <w:sz w:val="24"/>
          <w:u w:val="single"/>
        </w:rPr>
      </w:pPr>
      <w:r>
        <w:rPr>
          <w:rFonts w:ascii="Times New Roman" w:hAnsi="Times New Roman" w:eastAsia="楷体" w:cs="Times New Roman"/>
          <w:b/>
          <w:sz w:val="24"/>
          <w:u w:val="single"/>
        </w:rPr>
        <w:t xml:space="preserve">                                   END </w:t>
      </w:r>
      <w:r>
        <w:rPr>
          <w:rFonts w:hint="eastAsia" w:ascii="Times New Roman" w:hAnsi="Times New Roman" w:eastAsia="楷体" w:cs="Times New Roman"/>
          <w:b/>
          <w:sz w:val="24"/>
          <w:u w:val="single"/>
        </w:rPr>
        <w:t xml:space="preserve">                                   </w:t>
      </w:r>
    </w:p>
    <w:p>
      <w:pPr>
        <w:ind w:left="-286" w:leftChars="-136" w:right="-372" w:rightChars="-177" w:firstLine="240" w:firstLineChars="100"/>
        <w:rPr>
          <w:rFonts w:ascii="Times New Roman" w:hAnsi="楷体" w:eastAsia="楷体" w:cs="Times New Roman"/>
          <w:sz w:val="24"/>
        </w:rPr>
      </w:pPr>
      <w:r>
        <w:rPr>
          <w:rFonts w:hint="eastAsia" w:ascii="Times New Roman" w:hAnsi="楷体" w:eastAsia="楷体" w:cs="Times New Roman"/>
          <w:sz w:val="24"/>
        </w:rPr>
        <w:t>报告编制：</w:t>
      </w:r>
      <w:r>
        <w:rPr>
          <w:rFonts w:ascii="Times New Roman" w:hAnsi="Times New Roman" w:eastAsia="楷体" w:cs="Times New Roman"/>
          <w:sz w:val="24"/>
        </w:rPr>
        <w:tab/>
      </w:r>
      <w:r>
        <w:rPr>
          <w:rFonts w:ascii="Times New Roman" w:hAnsi="Times New Roman" w:eastAsia="楷体" w:cs="Times New Roman"/>
          <w:sz w:val="24"/>
        </w:rPr>
        <w:tab/>
      </w:r>
      <w:r>
        <w:rPr>
          <w:rFonts w:hint="eastAsia" w:ascii="Times New Roman" w:hAnsi="Times New Roman" w:eastAsia="楷体" w:cs="Times New Roman"/>
          <w:sz w:val="24"/>
        </w:rPr>
        <w:t xml:space="preserve">              </w:t>
      </w:r>
      <w:r>
        <w:rPr>
          <w:rFonts w:hint="eastAsia" w:ascii="Times New Roman" w:hAnsi="楷体" w:eastAsia="楷体" w:cs="Times New Roman"/>
          <w:sz w:val="24"/>
        </w:rPr>
        <w:t xml:space="preserve">审核：                     </w:t>
      </w:r>
      <w:r>
        <w:rPr>
          <w:rFonts w:hint="eastAsia" w:ascii="Times New Roman" w:hAnsi="Times New Roman" w:eastAsia="楷体" w:cs="Times New Roman"/>
          <w:sz w:val="24"/>
        </w:rPr>
        <w:t>签发</w:t>
      </w:r>
      <w:r>
        <w:rPr>
          <w:rFonts w:hint="eastAsia" w:ascii="Times New Roman" w:hAnsi="楷体" w:eastAsia="楷体" w:cs="Times New Roman"/>
          <w:sz w:val="24"/>
        </w:rPr>
        <w:t>：</w:t>
      </w:r>
      <w:r>
        <w:rPr>
          <w:rFonts w:ascii="Times New Roman" w:hAnsi="Times New Roman" w:eastAsia="楷体" w:cs="Times New Roman"/>
          <w:sz w:val="24"/>
        </w:rPr>
        <w:tab/>
      </w:r>
      <w:r>
        <w:rPr>
          <w:rFonts w:ascii="Times New Roman" w:hAnsi="Times New Roman" w:eastAsia="楷体" w:cs="Times New Roman"/>
          <w:sz w:val="24"/>
        </w:rPr>
        <w:tab/>
      </w:r>
      <w:r>
        <w:rPr>
          <w:rFonts w:ascii="Times New Roman" w:hAnsi="Times New Roman" w:eastAsia="楷体" w:cs="Times New Roman"/>
          <w:sz w:val="24"/>
        </w:rPr>
        <w:tab/>
      </w:r>
    </w:p>
    <w:p>
      <w:pPr>
        <w:ind w:firstLine="6600" w:firstLineChars="2750"/>
        <w:rPr>
          <w:rFonts w:ascii="Times New Roman" w:hAnsi="楷体" w:eastAsia="楷体" w:cs="Times New Roman"/>
          <w:sz w:val="24"/>
        </w:rPr>
      </w:pPr>
      <w:r>
        <w:rPr>
          <w:rFonts w:hint="eastAsia" w:ascii="Times New Roman" w:hAnsi="楷体" w:eastAsia="楷体" w:cs="Times New Roman"/>
          <w:sz w:val="24"/>
        </w:rPr>
        <w:t>日期：</w:t>
      </w:r>
    </w:p>
    <w:p>
      <w:pPr>
        <w:ind w:left="-141" w:leftChars="-67" w:firstLine="5541" w:firstLineChars="2309"/>
        <w:rPr>
          <w:rFonts w:ascii="Times New Roman" w:hAnsi="楷体" w:eastAsia="楷体" w:cs="Times New Roman"/>
          <w:sz w:val="24"/>
        </w:rPr>
      </w:pPr>
      <w:r>
        <w:rPr>
          <w:rFonts w:hint="eastAsia" w:ascii="Times New Roman" w:hAnsi="楷体" w:eastAsia="楷体" w:cs="Times New Roman"/>
          <w:sz w:val="24"/>
        </w:rPr>
        <w:t>浙江浙海环保科技有限公司</w:t>
      </w:r>
    </w:p>
    <w:p>
      <w:pPr>
        <w:ind w:left="-141" w:leftChars="-67" w:firstLine="5901" w:firstLineChars="2459"/>
        <w:rPr>
          <w:rFonts w:ascii="Times New Roman" w:hAnsi="Times New Roman" w:eastAsia="楷体" w:cs="Times New Roman"/>
          <w:b/>
          <w:sz w:val="24"/>
          <w:u w:val="single"/>
        </w:rPr>
      </w:pPr>
      <w:r>
        <w:rPr>
          <w:rFonts w:hint="eastAsia" w:ascii="Times New Roman" w:hAnsi="楷体" w:eastAsia="楷体" w:cs="Times New Roman"/>
          <w:sz w:val="24"/>
        </w:rPr>
        <w:t>（检测报告专用章）</w:t>
      </w:r>
    </w:p>
    <w:sectPr>
      <w:pgSz w:w="11906" w:h="16838"/>
      <w:pgMar w:top="1440" w:right="1236" w:bottom="1440" w:left="180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bottom w:val="none" w:color="auto" w:sz="0" w:space="0"/>
      </w:pBdr>
      <w:tabs>
        <w:tab w:val="right" w:pos="8647"/>
        <w:tab w:val="clear" w:pos="8306"/>
      </w:tabs>
      <w:ind w:right="-340" w:rightChars="-162"/>
      <w:rPr>
        <w:rFonts w:ascii="Times New Roman" w:hAnsi="Times New Roman" w:eastAsia="楷体" w:cs="Times New Roma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margin">
                <wp:posOffset>3786505</wp:posOffset>
              </wp:positionH>
              <wp:positionV relativeFrom="paragraph">
                <wp:posOffset>-29210</wp:posOffset>
              </wp:positionV>
              <wp:extent cx="1748155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815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right"/>
                            <w:rPr>
                              <w:sz w:val="21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t>报告正文第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t>20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t>页共</w:t>
                          </w:r>
                          <w:r>
                            <w:rPr>
                              <w:rFonts w:hint="eastAsia" w:ascii="Times New Roman" w:hAnsi="Times New Roman" w:eastAsia="楷体" w:cs="Times New Roman"/>
                              <w:sz w:val="21"/>
                              <w:szCs w:val="32"/>
                              <w:lang w:val="en-US" w:eastAsia="zh-CN"/>
                            </w:rPr>
                            <w:t>28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8.15pt;margin-top:-2.3pt;height:144pt;width:137.65pt;mso-position-horizontal-relative:margin;z-index:251718656;mso-width-relative:page;mso-height-relative:page;" filled="f" stroked="f" coordsize="21600,21600" o:gfxdata="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OIBUj2gAAAAoBAAAPAAAAAAAAAAEAIAAAACIAAABkcnMvZG93bnJl&#10;di54bWxQSwECFAAUAAAACACHTuJAC6HGMjQCAABXBAAADgAAAAAAAAABACAAAAAp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  <w:rPr>
                        <w:sz w:val="21"/>
                        <w:szCs w:val="32"/>
                      </w:rPr>
                    </w:pP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t>报告正文第</w:t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fldChar w:fldCharType="begin"/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fldChar w:fldCharType="separate"/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t>20</w:t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fldChar w:fldCharType="end"/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t>页共</w:t>
                    </w:r>
                    <w:r>
                      <w:rPr>
                        <w:rFonts w:hint="eastAsia" w:ascii="Times New Roman" w:hAnsi="Times New Roman" w:eastAsia="楷体" w:cs="Times New Roman"/>
                        <w:sz w:val="21"/>
                        <w:szCs w:val="32"/>
                        <w:lang w:val="en-US" w:eastAsia="zh-CN"/>
                      </w:rPr>
                      <w:t>28</w:t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楷体" w:eastAsia="楷体" w:cs="Times New Roman"/>
        <w:sz w:val="21"/>
        <w:szCs w:val="21"/>
        <w:u w:val="single"/>
      </w:rPr>
      <w:t>报告编号：</w:t>
    </w:r>
    <w:r>
      <w:rPr>
        <w:rFonts w:ascii="Times New Roman" w:hAnsi="Times New Roman" w:eastAsia="楷体" w:cs="Times New Roman"/>
        <w:sz w:val="21"/>
        <w:szCs w:val="21"/>
        <w:u w:val="single"/>
      </w:rPr>
      <w:t>ZH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>20</w:t>
    </w:r>
    <w:r>
      <w:rPr>
        <w:rFonts w:ascii="Times New Roman" w:hAnsi="Times New Roman" w:eastAsia="楷体" w:cs="Times New Roman"/>
        <w:sz w:val="21"/>
        <w:szCs w:val="21"/>
        <w:u w:val="single"/>
      </w:rPr>
      <w:t>-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>HBJC</w:t>
    </w:r>
    <w:r>
      <w:rPr>
        <w:rFonts w:ascii="Times New Roman" w:hAnsi="Times New Roman" w:eastAsia="楷体" w:cs="Times New Roman"/>
        <w:sz w:val="21"/>
        <w:szCs w:val="21"/>
        <w:u w:val="single"/>
      </w:rPr>
      <w:t>-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>5</w:t>
    </w:r>
    <w:r>
      <w:rPr>
        <w:rFonts w:hint="eastAsia" w:ascii="Times New Roman" w:hAnsi="Times New Roman" w:eastAsia="楷体" w:cs="Times New Roman"/>
        <w:sz w:val="21"/>
        <w:szCs w:val="21"/>
        <w:u w:val="single"/>
        <w:lang w:val="en-US" w:eastAsia="zh-CN"/>
      </w:rPr>
      <w:t>58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 xml:space="preserve">                      </w:t>
    </w:r>
    <w:r>
      <w:rPr>
        <w:rFonts w:hint="eastAsia" w:ascii="Times New Roman" w:hAnsi="Times New Roman" w:eastAsia="楷体" w:cs="Times New Roman"/>
        <w:sz w:val="21"/>
        <w:szCs w:val="21"/>
        <w:u w:val="single"/>
        <w:lang w:val="en-US" w:eastAsia="zh-CN"/>
      </w:rPr>
      <w:t xml:space="preserve">  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 xml:space="preserve">            </w:t>
    </w:r>
    <w:r>
      <w:rPr>
        <w:rFonts w:ascii="Times New Roman" w:hAnsi="Times New Roman" w:eastAsia="楷体" w:cs="Times New Roman"/>
        <w:sz w:val="21"/>
        <w:szCs w:val="21"/>
        <w:u w:val="single"/>
      </w:rPr>
      <w:t xml:space="preserve">                     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 xml:space="preserve">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right" w:pos="8647"/>
        <w:tab w:val="clear" w:pos="8306"/>
      </w:tabs>
      <w:ind w:right="-340" w:rightChars="-162"/>
      <w:rPr>
        <w:rFonts w:ascii="Times New Roman" w:hAnsi="Times New Roman" w:eastAsia="楷体" w:cs="Times New Roma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716608" behindDoc="0" locked="0" layoutInCell="1" allowOverlap="1">
              <wp:simplePos x="0" y="0"/>
              <wp:positionH relativeFrom="margin">
                <wp:posOffset>3905885</wp:posOffset>
              </wp:positionH>
              <wp:positionV relativeFrom="paragraph">
                <wp:posOffset>-3175</wp:posOffset>
              </wp:positionV>
              <wp:extent cx="1748155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815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right"/>
                            <w:rPr>
                              <w:sz w:val="21"/>
                              <w:szCs w:val="32"/>
                            </w:rPr>
                          </w:pPr>
                          <w:r>
                            <w:rPr>
                              <w:rFonts w:hint="eastAsia" w:ascii="Times New Roman" w:hAnsi="Times New Roman" w:eastAsia="楷体" w:cs="Times New Roman"/>
                              <w:sz w:val="21"/>
                              <w:szCs w:val="32"/>
                              <w:lang w:val="en-US" w:eastAsia="zh-CN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t>报告正文第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t>30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t>页共</w:t>
                          </w:r>
                          <w:r>
                            <w:rPr>
                              <w:rFonts w:hint="eastAsia" w:ascii="Times New Roman" w:hAnsi="Times New Roman" w:eastAsia="楷体" w:cs="Times New Roman"/>
                              <w:sz w:val="21"/>
                              <w:szCs w:val="32"/>
                              <w:lang w:val="en-US" w:eastAsia="zh-CN"/>
                            </w:rPr>
                            <w:t>28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21"/>
                              <w:szCs w:val="32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07.55pt;margin-top:-0.25pt;height:144pt;width:137.65pt;mso-position-horizontal-relative:margin;z-index:251716608;mso-width-relative:page;mso-height-relative:page;" filled="f" stroked="f" coordsize="21600,21600" o:gfxdata="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ZVgCPYAAAACQEAAA8AAAAAAAAAAQAgAAAAIgAAAGRycy9kb3ducmV2Lnht&#10;bFBLAQIUABQAAAAIAIdO4kAjcdfDMgIAAFcEAAAOAAAAAAAAAAEAIAAAACc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  <w:rPr>
                        <w:sz w:val="21"/>
                        <w:szCs w:val="32"/>
                      </w:rPr>
                    </w:pPr>
                    <w:r>
                      <w:rPr>
                        <w:rFonts w:hint="eastAsia" w:ascii="Times New Roman" w:hAnsi="Times New Roman" w:eastAsia="楷体" w:cs="Times New Roman"/>
                        <w:sz w:val="21"/>
                        <w:szCs w:val="32"/>
                        <w:lang w:val="en-US" w:eastAsia="zh-CN"/>
                      </w:rPr>
                      <w:t xml:space="preserve">   </w:t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t>报告正文第</w:t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fldChar w:fldCharType="begin"/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fldChar w:fldCharType="separate"/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t>30</w:t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fldChar w:fldCharType="end"/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t>页共</w:t>
                    </w:r>
                    <w:r>
                      <w:rPr>
                        <w:rFonts w:hint="eastAsia" w:ascii="Times New Roman" w:hAnsi="Times New Roman" w:eastAsia="楷体" w:cs="Times New Roman"/>
                        <w:sz w:val="21"/>
                        <w:szCs w:val="32"/>
                        <w:lang w:val="en-US" w:eastAsia="zh-CN"/>
                      </w:rPr>
                      <w:t>28</w:t>
                    </w:r>
                    <w:r>
                      <w:rPr>
                        <w:rFonts w:ascii="Times New Roman" w:hAnsi="Times New Roman" w:eastAsia="楷体" w:cs="Times New Roman"/>
                        <w:sz w:val="21"/>
                        <w:szCs w:val="32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楷体" w:eastAsia="楷体" w:cs="Times New Roman"/>
        <w:sz w:val="21"/>
        <w:szCs w:val="21"/>
        <w:u w:val="single"/>
      </w:rPr>
      <w:t>报告编号：</w:t>
    </w:r>
    <w:r>
      <w:rPr>
        <w:rFonts w:ascii="Times New Roman" w:hAnsi="Times New Roman" w:eastAsia="楷体" w:cs="Times New Roman"/>
        <w:sz w:val="21"/>
        <w:szCs w:val="21"/>
        <w:u w:val="single"/>
      </w:rPr>
      <w:t>ZH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>20</w:t>
    </w:r>
    <w:r>
      <w:rPr>
        <w:rFonts w:ascii="Times New Roman" w:hAnsi="Times New Roman" w:eastAsia="楷体" w:cs="Times New Roman"/>
        <w:sz w:val="21"/>
        <w:szCs w:val="21"/>
        <w:u w:val="single"/>
      </w:rPr>
      <w:t>-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>HBJC</w:t>
    </w:r>
    <w:r>
      <w:rPr>
        <w:rFonts w:ascii="Times New Roman" w:hAnsi="Times New Roman" w:eastAsia="楷体" w:cs="Times New Roman"/>
        <w:sz w:val="21"/>
        <w:szCs w:val="21"/>
        <w:u w:val="single"/>
      </w:rPr>
      <w:t>-</w:t>
    </w:r>
    <w:r>
      <w:rPr>
        <w:rFonts w:hint="eastAsia" w:ascii="Times New Roman" w:hAnsi="Times New Roman" w:eastAsia="楷体" w:cs="Times New Roman"/>
        <w:sz w:val="21"/>
        <w:szCs w:val="21"/>
        <w:u w:val="single"/>
        <w:lang w:val="en-US" w:eastAsia="zh-CN"/>
      </w:rPr>
      <w:t>558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 xml:space="preserve">             </w:t>
    </w:r>
    <w:r>
      <w:rPr>
        <w:rFonts w:ascii="Times New Roman" w:hAnsi="Times New Roman" w:eastAsia="楷体" w:cs="Times New Roman"/>
        <w:sz w:val="21"/>
        <w:szCs w:val="21"/>
        <w:u w:val="single"/>
      </w:rPr>
      <w:t xml:space="preserve"> 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 xml:space="preserve">    </w:t>
    </w:r>
    <w:r>
      <w:rPr>
        <w:rFonts w:ascii="Times New Roman" w:hAnsi="Times New Roman" w:eastAsia="楷体" w:cs="Times New Roman"/>
        <w:sz w:val="21"/>
        <w:szCs w:val="21"/>
        <w:u w:val="single"/>
      </w:rPr>
      <w:t xml:space="preserve">  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 xml:space="preserve">    </w:t>
    </w:r>
    <w:r>
      <w:rPr>
        <w:rFonts w:hint="eastAsia" w:ascii="Times New Roman" w:hAnsi="Times New Roman" w:eastAsia="楷体" w:cs="Times New Roman"/>
        <w:sz w:val="21"/>
        <w:szCs w:val="21"/>
        <w:u w:val="single"/>
        <w:lang w:val="en-US" w:eastAsia="zh-CN"/>
      </w:rPr>
      <w:t xml:space="preserve">  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 xml:space="preserve"> </w:t>
    </w:r>
    <w:r>
      <w:rPr>
        <w:rFonts w:hint="eastAsia" w:ascii="Times New Roman" w:hAnsi="Times New Roman" w:eastAsia="楷体" w:cs="Times New Roman"/>
        <w:sz w:val="21"/>
        <w:szCs w:val="21"/>
        <w:u w:val="single"/>
        <w:lang w:val="en-US" w:eastAsia="zh-CN"/>
      </w:rPr>
      <w:t xml:space="preserve">   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 xml:space="preserve">                          </w:t>
    </w:r>
    <w:r>
      <w:rPr>
        <w:rFonts w:ascii="Times New Roman" w:hAnsi="Times New Roman" w:eastAsia="楷体" w:cs="Times New Roman"/>
        <w:sz w:val="21"/>
        <w:szCs w:val="21"/>
        <w:u w:val="single"/>
      </w:rPr>
      <w:t xml:space="preserve">  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2A1BC2"/>
    <w:multiLevelType w:val="multilevel"/>
    <w:tmpl w:val="AE2A1BC2"/>
    <w:lvl w:ilvl="0" w:tentative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Times New Roman" w:hAnsi="Times New Roman" w:cs="Times New Roman"/>
      </w:rPr>
    </w:lvl>
  </w:abstractNum>
  <w:abstractNum w:abstractNumId="1">
    <w:nsid w:val="B9715762"/>
    <w:multiLevelType w:val="multilevel"/>
    <w:tmpl w:val="B9715762"/>
    <w:lvl w:ilvl="0" w:tentative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Times New Roman" w:hAnsi="Times New Roman" w:cs="Times New Roman"/>
      </w:rPr>
    </w:lvl>
  </w:abstractNum>
  <w:abstractNum w:abstractNumId="2">
    <w:nsid w:val="0112EF21"/>
    <w:multiLevelType w:val="singleLevel"/>
    <w:tmpl w:val="0112EF21"/>
    <w:lvl w:ilvl="0" w:tentative="0">
      <w:start w:val="1"/>
      <w:numFmt w:val="decimal"/>
      <w:suff w:val="nothing"/>
      <w:lvlText w:val="（%1）"/>
      <w:lvlJc w:val="left"/>
      <w:rPr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3">
    <w:nsid w:val="07D655BF"/>
    <w:multiLevelType w:val="multilevel"/>
    <w:tmpl w:val="07D655BF"/>
    <w:lvl w:ilvl="0" w:tentative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Times New Roman" w:hAnsi="Times New Roman" w:cs="Times New Roman"/>
      </w:rPr>
    </w:lvl>
  </w:abstractNum>
  <w:abstractNum w:abstractNumId="4">
    <w:nsid w:val="181E5EBB"/>
    <w:multiLevelType w:val="multilevel"/>
    <w:tmpl w:val="181E5EBB"/>
    <w:lvl w:ilvl="0" w:tentative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Times New Roman" w:hAnsi="Times New Roman"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D3"/>
    <w:rsid w:val="000335A0"/>
    <w:rsid w:val="000578E4"/>
    <w:rsid w:val="000579F8"/>
    <w:rsid w:val="000F7C82"/>
    <w:rsid w:val="000F7D5F"/>
    <w:rsid w:val="00113ACB"/>
    <w:rsid w:val="00171CAC"/>
    <w:rsid w:val="00181F17"/>
    <w:rsid w:val="0018270F"/>
    <w:rsid w:val="00191CD4"/>
    <w:rsid w:val="001F236B"/>
    <w:rsid w:val="001F29AD"/>
    <w:rsid w:val="00263F17"/>
    <w:rsid w:val="0027722B"/>
    <w:rsid w:val="00283358"/>
    <w:rsid w:val="0029283A"/>
    <w:rsid w:val="00296726"/>
    <w:rsid w:val="002E1A20"/>
    <w:rsid w:val="003270DA"/>
    <w:rsid w:val="003737CC"/>
    <w:rsid w:val="003874C1"/>
    <w:rsid w:val="003D5409"/>
    <w:rsid w:val="003F16C2"/>
    <w:rsid w:val="003F2845"/>
    <w:rsid w:val="0040478A"/>
    <w:rsid w:val="00436B2E"/>
    <w:rsid w:val="0045422A"/>
    <w:rsid w:val="004569FA"/>
    <w:rsid w:val="004906C0"/>
    <w:rsid w:val="004A4F7C"/>
    <w:rsid w:val="00541D64"/>
    <w:rsid w:val="005453D3"/>
    <w:rsid w:val="00550286"/>
    <w:rsid w:val="005512B2"/>
    <w:rsid w:val="00556D03"/>
    <w:rsid w:val="005859F3"/>
    <w:rsid w:val="00586DB9"/>
    <w:rsid w:val="005C2367"/>
    <w:rsid w:val="005C6C6D"/>
    <w:rsid w:val="00612C11"/>
    <w:rsid w:val="006761DA"/>
    <w:rsid w:val="006A1D1C"/>
    <w:rsid w:val="006C3727"/>
    <w:rsid w:val="006F2F11"/>
    <w:rsid w:val="00706081"/>
    <w:rsid w:val="00754554"/>
    <w:rsid w:val="007743AC"/>
    <w:rsid w:val="007E0153"/>
    <w:rsid w:val="008062A6"/>
    <w:rsid w:val="00822A44"/>
    <w:rsid w:val="00837425"/>
    <w:rsid w:val="00837632"/>
    <w:rsid w:val="00850606"/>
    <w:rsid w:val="008722CA"/>
    <w:rsid w:val="008F4AC6"/>
    <w:rsid w:val="008F7A35"/>
    <w:rsid w:val="0091667F"/>
    <w:rsid w:val="00942DED"/>
    <w:rsid w:val="00964B9F"/>
    <w:rsid w:val="009660D0"/>
    <w:rsid w:val="009904BD"/>
    <w:rsid w:val="009940C5"/>
    <w:rsid w:val="009A65BB"/>
    <w:rsid w:val="009D7A0C"/>
    <w:rsid w:val="009E62D9"/>
    <w:rsid w:val="009E66DE"/>
    <w:rsid w:val="00A0098B"/>
    <w:rsid w:val="00A16ABF"/>
    <w:rsid w:val="00A2017B"/>
    <w:rsid w:val="00A43F40"/>
    <w:rsid w:val="00A51FD2"/>
    <w:rsid w:val="00AD6B9E"/>
    <w:rsid w:val="00AF2DBC"/>
    <w:rsid w:val="00B25266"/>
    <w:rsid w:val="00B9314E"/>
    <w:rsid w:val="00B93CFB"/>
    <w:rsid w:val="00BB24FF"/>
    <w:rsid w:val="00BE569F"/>
    <w:rsid w:val="00BF3019"/>
    <w:rsid w:val="00BF4094"/>
    <w:rsid w:val="00C05782"/>
    <w:rsid w:val="00C22F36"/>
    <w:rsid w:val="00C2519A"/>
    <w:rsid w:val="00C7260B"/>
    <w:rsid w:val="00C82D61"/>
    <w:rsid w:val="00C97FF1"/>
    <w:rsid w:val="00CC370D"/>
    <w:rsid w:val="00CE79E9"/>
    <w:rsid w:val="00D31EEC"/>
    <w:rsid w:val="00DF5B30"/>
    <w:rsid w:val="00E179C8"/>
    <w:rsid w:val="00E414E9"/>
    <w:rsid w:val="00E87F45"/>
    <w:rsid w:val="00EB3B93"/>
    <w:rsid w:val="00F177FB"/>
    <w:rsid w:val="00F30ED8"/>
    <w:rsid w:val="00F31D07"/>
    <w:rsid w:val="00F560EB"/>
    <w:rsid w:val="00F75FC1"/>
    <w:rsid w:val="00F77E64"/>
    <w:rsid w:val="00FA0541"/>
    <w:rsid w:val="00FC2F25"/>
    <w:rsid w:val="00FD4555"/>
    <w:rsid w:val="01213F50"/>
    <w:rsid w:val="01492666"/>
    <w:rsid w:val="0162482C"/>
    <w:rsid w:val="01972B0B"/>
    <w:rsid w:val="021C2B88"/>
    <w:rsid w:val="02254A86"/>
    <w:rsid w:val="027A3EC6"/>
    <w:rsid w:val="03800D8C"/>
    <w:rsid w:val="049D0968"/>
    <w:rsid w:val="05495520"/>
    <w:rsid w:val="06257A45"/>
    <w:rsid w:val="076230F5"/>
    <w:rsid w:val="077D0562"/>
    <w:rsid w:val="07977829"/>
    <w:rsid w:val="07AC0F54"/>
    <w:rsid w:val="08104C53"/>
    <w:rsid w:val="08425D8F"/>
    <w:rsid w:val="086C779D"/>
    <w:rsid w:val="08B53A86"/>
    <w:rsid w:val="090050F8"/>
    <w:rsid w:val="09117789"/>
    <w:rsid w:val="09413511"/>
    <w:rsid w:val="0A3A52A0"/>
    <w:rsid w:val="0A582912"/>
    <w:rsid w:val="0B451909"/>
    <w:rsid w:val="0B7705F8"/>
    <w:rsid w:val="0CAA50AB"/>
    <w:rsid w:val="0CEE45AD"/>
    <w:rsid w:val="0CFC2B7D"/>
    <w:rsid w:val="0D043309"/>
    <w:rsid w:val="0D593C89"/>
    <w:rsid w:val="0DB2285A"/>
    <w:rsid w:val="0E0541C5"/>
    <w:rsid w:val="0E3B781D"/>
    <w:rsid w:val="0E9F6102"/>
    <w:rsid w:val="103F5319"/>
    <w:rsid w:val="10E86C76"/>
    <w:rsid w:val="1232255F"/>
    <w:rsid w:val="12B45849"/>
    <w:rsid w:val="12E70B62"/>
    <w:rsid w:val="13673DD9"/>
    <w:rsid w:val="13D02ECA"/>
    <w:rsid w:val="145E4C85"/>
    <w:rsid w:val="14615055"/>
    <w:rsid w:val="146C1997"/>
    <w:rsid w:val="14832AD1"/>
    <w:rsid w:val="149425C1"/>
    <w:rsid w:val="14AF2B4E"/>
    <w:rsid w:val="14B532A7"/>
    <w:rsid w:val="14DA0AAA"/>
    <w:rsid w:val="14F200FA"/>
    <w:rsid w:val="1573094C"/>
    <w:rsid w:val="15955F5E"/>
    <w:rsid w:val="15C35B75"/>
    <w:rsid w:val="15E47A2A"/>
    <w:rsid w:val="16205BEC"/>
    <w:rsid w:val="16544C2E"/>
    <w:rsid w:val="16A45A61"/>
    <w:rsid w:val="16D86EEC"/>
    <w:rsid w:val="174175CE"/>
    <w:rsid w:val="17606CD5"/>
    <w:rsid w:val="1A3F48D1"/>
    <w:rsid w:val="1A561111"/>
    <w:rsid w:val="1AC14E62"/>
    <w:rsid w:val="1B2B4C8B"/>
    <w:rsid w:val="1BD35F62"/>
    <w:rsid w:val="1BE6201C"/>
    <w:rsid w:val="1C1A32A4"/>
    <w:rsid w:val="1C712C58"/>
    <w:rsid w:val="1C865BE3"/>
    <w:rsid w:val="1CA87207"/>
    <w:rsid w:val="1D090C88"/>
    <w:rsid w:val="1D4C46A3"/>
    <w:rsid w:val="1DF8358C"/>
    <w:rsid w:val="1E6876D3"/>
    <w:rsid w:val="1F324F6F"/>
    <w:rsid w:val="1F403F6B"/>
    <w:rsid w:val="1FA5717A"/>
    <w:rsid w:val="1FCA50B4"/>
    <w:rsid w:val="206462FE"/>
    <w:rsid w:val="21270854"/>
    <w:rsid w:val="219B139C"/>
    <w:rsid w:val="222B3807"/>
    <w:rsid w:val="22460ED3"/>
    <w:rsid w:val="22855BC9"/>
    <w:rsid w:val="237678E1"/>
    <w:rsid w:val="23AE4876"/>
    <w:rsid w:val="24113196"/>
    <w:rsid w:val="242A161D"/>
    <w:rsid w:val="247B7081"/>
    <w:rsid w:val="24D94425"/>
    <w:rsid w:val="255573FD"/>
    <w:rsid w:val="257F27DE"/>
    <w:rsid w:val="25AC51DB"/>
    <w:rsid w:val="26A3651A"/>
    <w:rsid w:val="26B92AF1"/>
    <w:rsid w:val="26BE05AF"/>
    <w:rsid w:val="26CD4CA4"/>
    <w:rsid w:val="27316A30"/>
    <w:rsid w:val="27A30480"/>
    <w:rsid w:val="280F1BAF"/>
    <w:rsid w:val="284A721C"/>
    <w:rsid w:val="284E63FD"/>
    <w:rsid w:val="28B27DB2"/>
    <w:rsid w:val="28D0696F"/>
    <w:rsid w:val="28FB1903"/>
    <w:rsid w:val="292568F4"/>
    <w:rsid w:val="292D0D00"/>
    <w:rsid w:val="29591044"/>
    <w:rsid w:val="299F56B8"/>
    <w:rsid w:val="29B95C5B"/>
    <w:rsid w:val="29BD0A9C"/>
    <w:rsid w:val="29D044CA"/>
    <w:rsid w:val="2A806675"/>
    <w:rsid w:val="2B900FA7"/>
    <w:rsid w:val="2BDA2FC9"/>
    <w:rsid w:val="2CB12080"/>
    <w:rsid w:val="2D521F46"/>
    <w:rsid w:val="2DCF162E"/>
    <w:rsid w:val="2E5E0D63"/>
    <w:rsid w:val="2F2A5076"/>
    <w:rsid w:val="2F3A046C"/>
    <w:rsid w:val="2F8036AD"/>
    <w:rsid w:val="2F8F42D1"/>
    <w:rsid w:val="2FA32576"/>
    <w:rsid w:val="2FD962CC"/>
    <w:rsid w:val="30A2707B"/>
    <w:rsid w:val="30C36D18"/>
    <w:rsid w:val="30D44D5B"/>
    <w:rsid w:val="312A6275"/>
    <w:rsid w:val="319A0CBF"/>
    <w:rsid w:val="31E23C7D"/>
    <w:rsid w:val="32280024"/>
    <w:rsid w:val="32411B0D"/>
    <w:rsid w:val="32844AE8"/>
    <w:rsid w:val="32F26500"/>
    <w:rsid w:val="337C39CA"/>
    <w:rsid w:val="34875251"/>
    <w:rsid w:val="349B187F"/>
    <w:rsid w:val="34A41BC7"/>
    <w:rsid w:val="34C027A0"/>
    <w:rsid w:val="35395844"/>
    <w:rsid w:val="3570365D"/>
    <w:rsid w:val="36545611"/>
    <w:rsid w:val="366B75E1"/>
    <w:rsid w:val="36CB7EC3"/>
    <w:rsid w:val="370B7836"/>
    <w:rsid w:val="37627AD4"/>
    <w:rsid w:val="37825104"/>
    <w:rsid w:val="37941F75"/>
    <w:rsid w:val="37BC772F"/>
    <w:rsid w:val="37C656F6"/>
    <w:rsid w:val="37E83B0E"/>
    <w:rsid w:val="384E5F28"/>
    <w:rsid w:val="388C07BB"/>
    <w:rsid w:val="389E1C09"/>
    <w:rsid w:val="38D078EB"/>
    <w:rsid w:val="39051821"/>
    <w:rsid w:val="391B3DE2"/>
    <w:rsid w:val="39434FBF"/>
    <w:rsid w:val="397A65F4"/>
    <w:rsid w:val="3A22621D"/>
    <w:rsid w:val="3A373A63"/>
    <w:rsid w:val="3A5573D7"/>
    <w:rsid w:val="3A584CB1"/>
    <w:rsid w:val="3B1625A8"/>
    <w:rsid w:val="3B577303"/>
    <w:rsid w:val="3BEC4933"/>
    <w:rsid w:val="3C423F68"/>
    <w:rsid w:val="3C6445C5"/>
    <w:rsid w:val="3D6C0600"/>
    <w:rsid w:val="3DC5779D"/>
    <w:rsid w:val="3E117101"/>
    <w:rsid w:val="3E367423"/>
    <w:rsid w:val="3E4A1638"/>
    <w:rsid w:val="3EA95C7D"/>
    <w:rsid w:val="3EDC7379"/>
    <w:rsid w:val="3F221912"/>
    <w:rsid w:val="401A2D05"/>
    <w:rsid w:val="40BB7E8F"/>
    <w:rsid w:val="415630E1"/>
    <w:rsid w:val="41655F94"/>
    <w:rsid w:val="41A86276"/>
    <w:rsid w:val="41AA1EA8"/>
    <w:rsid w:val="433E20BC"/>
    <w:rsid w:val="434B17D5"/>
    <w:rsid w:val="43505FDE"/>
    <w:rsid w:val="437C4B08"/>
    <w:rsid w:val="446B296B"/>
    <w:rsid w:val="449759FF"/>
    <w:rsid w:val="44C7635D"/>
    <w:rsid w:val="44ED4B38"/>
    <w:rsid w:val="44FE79DD"/>
    <w:rsid w:val="453643AF"/>
    <w:rsid w:val="45764EF2"/>
    <w:rsid w:val="458069EA"/>
    <w:rsid w:val="45AC50AC"/>
    <w:rsid w:val="45CD62CE"/>
    <w:rsid w:val="46B5437A"/>
    <w:rsid w:val="46CC307E"/>
    <w:rsid w:val="47035396"/>
    <w:rsid w:val="470C47F3"/>
    <w:rsid w:val="47FF6AB3"/>
    <w:rsid w:val="48746E4B"/>
    <w:rsid w:val="489558AE"/>
    <w:rsid w:val="48ED1C0F"/>
    <w:rsid w:val="49484BAF"/>
    <w:rsid w:val="496B31C1"/>
    <w:rsid w:val="49893F3A"/>
    <w:rsid w:val="49953842"/>
    <w:rsid w:val="49C456CC"/>
    <w:rsid w:val="4A065FBE"/>
    <w:rsid w:val="4A206508"/>
    <w:rsid w:val="4AF249D2"/>
    <w:rsid w:val="4AF52138"/>
    <w:rsid w:val="4B1B1D35"/>
    <w:rsid w:val="4B7424D5"/>
    <w:rsid w:val="4B904BB6"/>
    <w:rsid w:val="4C2B0435"/>
    <w:rsid w:val="4C75033F"/>
    <w:rsid w:val="4C9271FA"/>
    <w:rsid w:val="4CD61A02"/>
    <w:rsid w:val="4DDD4DB9"/>
    <w:rsid w:val="4E155AEE"/>
    <w:rsid w:val="4E1C7446"/>
    <w:rsid w:val="4ED2754D"/>
    <w:rsid w:val="4EEE623F"/>
    <w:rsid w:val="4EF75295"/>
    <w:rsid w:val="4F50705A"/>
    <w:rsid w:val="4F81317C"/>
    <w:rsid w:val="4FD75EE4"/>
    <w:rsid w:val="503D6FA4"/>
    <w:rsid w:val="5046662E"/>
    <w:rsid w:val="506F2637"/>
    <w:rsid w:val="50A22C4E"/>
    <w:rsid w:val="50BE621D"/>
    <w:rsid w:val="50CE23E5"/>
    <w:rsid w:val="51110102"/>
    <w:rsid w:val="516F0236"/>
    <w:rsid w:val="51A20C7B"/>
    <w:rsid w:val="5222648F"/>
    <w:rsid w:val="52726092"/>
    <w:rsid w:val="52D00B0B"/>
    <w:rsid w:val="52F34923"/>
    <w:rsid w:val="5345572E"/>
    <w:rsid w:val="53846605"/>
    <w:rsid w:val="53AC0B9C"/>
    <w:rsid w:val="5417068C"/>
    <w:rsid w:val="54A724E2"/>
    <w:rsid w:val="55540B5C"/>
    <w:rsid w:val="55AD663B"/>
    <w:rsid w:val="55D90AE7"/>
    <w:rsid w:val="56F40BAB"/>
    <w:rsid w:val="57025864"/>
    <w:rsid w:val="573336B0"/>
    <w:rsid w:val="57397E59"/>
    <w:rsid w:val="58444426"/>
    <w:rsid w:val="589F41CE"/>
    <w:rsid w:val="58B71424"/>
    <w:rsid w:val="59014801"/>
    <w:rsid w:val="592E423C"/>
    <w:rsid w:val="59AE763B"/>
    <w:rsid w:val="59CB5109"/>
    <w:rsid w:val="5A0B159B"/>
    <w:rsid w:val="5AC840D9"/>
    <w:rsid w:val="5AEA5575"/>
    <w:rsid w:val="5AF36A03"/>
    <w:rsid w:val="5B3C76E4"/>
    <w:rsid w:val="5B712BF4"/>
    <w:rsid w:val="5BA17C01"/>
    <w:rsid w:val="5BBC50B8"/>
    <w:rsid w:val="5C2E3A63"/>
    <w:rsid w:val="5C555D1B"/>
    <w:rsid w:val="5C87074B"/>
    <w:rsid w:val="5CE36214"/>
    <w:rsid w:val="5CE66A86"/>
    <w:rsid w:val="5D0178EF"/>
    <w:rsid w:val="5D2F0F85"/>
    <w:rsid w:val="5D9E3812"/>
    <w:rsid w:val="5E881EEC"/>
    <w:rsid w:val="5E93753B"/>
    <w:rsid w:val="5EC30FCB"/>
    <w:rsid w:val="5F0E5AF8"/>
    <w:rsid w:val="5F4E066B"/>
    <w:rsid w:val="6011400E"/>
    <w:rsid w:val="60446E8E"/>
    <w:rsid w:val="611E696F"/>
    <w:rsid w:val="614F2CDB"/>
    <w:rsid w:val="61581DCF"/>
    <w:rsid w:val="615F1145"/>
    <w:rsid w:val="616B4319"/>
    <w:rsid w:val="61BE6AEE"/>
    <w:rsid w:val="61FF3D46"/>
    <w:rsid w:val="6251084F"/>
    <w:rsid w:val="627846A7"/>
    <w:rsid w:val="62E762ED"/>
    <w:rsid w:val="6348259A"/>
    <w:rsid w:val="6368324E"/>
    <w:rsid w:val="640621A1"/>
    <w:rsid w:val="64860C2B"/>
    <w:rsid w:val="660F4D68"/>
    <w:rsid w:val="664D1A29"/>
    <w:rsid w:val="665E4D55"/>
    <w:rsid w:val="66894BE9"/>
    <w:rsid w:val="66D63882"/>
    <w:rsid w:val="66F95E79"/>
    <w:rsid w:val="67184F40"/>
    <w:rsid w:val="675A40EC"/>
    <w:rsid w:val="681C2FA0"/>
    <w:rsid w:val="681D05F1"/>
    <w:rsid w:val="68AB404D"/>
    <w:rsid w:val="69A44F6B"/>
    <w:rsid w:val="6ACD5672"/>
    <w:rsid w:val="6AD51765"/>
    <w:rsid w:val="6AD55BB2"/>
    <w:rsid w:val="6B1050A8"/>
    <w:rsid w:val="6C68134F"/>
    <w:rsid w:val="6D40321B"/>
    <w:rsid w:val="6D4D3649"/>
    <w:rsid w:val="6D61175A"/>
    <w:rsid w:val="6DF11600"/>
    <w:rsid w:val="6F400578"/>
    <w:rsid w:val="6F9B1C18"/>
    <w:rsid w:val="6FA82090"/>
    <w:rsid w:val="6FCB3F1B"/>
    <w:rsid w:val="6FD9661C"/>
    <w:rsid w:val="70491B9F"/>
    <w:rsid w:val="707234B1"/>
    <w:rsid w:val="70A9466A"/>
    <w:rsid w:val="70E60236"/>
    <w:rsid w:val="7130713B"/>
    <w:rsid w:val="71655F74"/>
    <w:rsid w:val="71921D3D"/>
    <w:rsid w:val="723349D1"/>
    <w:rsid w:val="72737CBA"/>
    <w:rsid w:val="72D262B3"/>
    <w:rsid w:val="72F757F5"/>
    <w:rsid w:val="730A5C26"/>
    <w:rsid w:val="73560DE3"/>
    <w:rsid w:val="749F7E54"/>
    <w:rsid w:val="74BD38FB"/>
    <w:rsid w:val="74D10A7B"/>
    <w:rsid w:val="75FA7D12"/>
    <w:rsid w:val="7634229C"/>
    <w:rsid w:val="76CB314E"/>
    <w:rsid w:val="77C90D83"/>
    <w:rsid w:val="782947A4"/>
    <w:rsid w:val="78E23F2C"/>
    <w:rsid w:val="78FC5921"/>
    <w:rsid w:val="795F3C23"/>
    <w:rsid w:val="7969179A"/>
    <w:rsid w:val="79795537"/>
    <w:rsid w:val="79902162"/>
    <w:rsid w:val="79B7054D"/>
    <w:rsid w:val="7A961EC9"/>
    <w:rsid w:val="7B355B95"/>
    <w:rsid w:val="7B5E55AB"/>
    <w:rsid w:val="7B606A66"/>
    <w:rsid w:val="7B717D74"/>
    <w:rsid w:val="7B7A45FB"/>
    <w:rsid w:val="7BB61590"/>
    <w:rsid w:val="7C353CC8"/>
    <w:rsid w:val="7D77366B"/>
    <w:rsid w:val="7E3750C6"/>
    <w:rsid w:val="7E3F7CDF"/>
    <w:rsid w:val="7E746766"/>
    <w:rsid w:val="7E763391"/>
    <w:rsid w:val="7E8F69D1"/>
    <w:rsid w:val="7EBA2701"/>
    <w:rsid w:val="7F144200"/>
    <w:rsid w:val="7F7A33F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1"/>
    <w:qFormat/>
    <w:uiPriority w:val="0"/>
    <w:pPr>
      <w:ind w:firstLine="880" w:firstLineChars="200"/>
    </w:pPr>
    <w:rPr>
      <w:rFonts w:ascii="楷体_GB2312" w:hAnsi="Times New Roman" w:eastAsia="楷体_GB2312" w:cs="Times New Roman"/>
      <w:sz w:val="4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2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Subtitle"/>
    <w:basedOn w:val="1"/>
    <w:next w:val="1"/>
    <w:qFormat/>
    <w:uiPriority w:val="0"/>
    <w:pPr>
      <w:widowControl/>
      <w:spacing w:line="360" w:lineRule="auto"/>
      <w:jc w:val="left"/>
      <w:outlineLvl w:val="1"/>
    </w:pPr>
    <w:rPr>
      <w:rFonts w:eastAsia="仿宋"/>
      <w:b/>
      <w:bCs/>
      <w:kern w:val="28"/>
      <w:sz w:val="28"/>
      <w:szCs w:val="32"/>
      <w:lang w:eastAsia="en-US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11">
    <w:name w:val="正文文本缩进 字符"/>
    <w:basedOn w:val="9"/>
    <w:link w:val="2"/>
    <w:qFormat/>
    <w:uiPriority w:val="0"/>
    <w:rPr>
      <w:rFonts w:ascii="楷体_GB2312" w:hAnsi="Times New Roman" w:eastAsia="楷体_GB2312" w:cs="Times New Roman"/>
      <w:kern w:val="2"/>
      <w:sz w:val="44"/>
      <w:szCs w:val="24"/>
    </w:rPr>
  </w:style>
  <w:style w:type="character" w:customStyle="1" w:styleId="12">
    <w:name w:val="页眉 字符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3">
    <w:name w:val="font11"/>
    <w:basedOn w:val="9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4">
    <w:name w:val="font01"/>
    <w:basedOn w:val="9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  <w:vertAlign w:val="superscript"/>
    </w:rPr>
  </w:style>
  <w:style w:type="paragraph" w:customStyle="1" w:styleId="15">
    <w:name w:val="正文首行缩进2个字"/>
    <w:basedOn w:val="1"/>
    <w:qFormat/>
    <w:uiPriority w:val="0"/>
    <w:pPr>
      <w:spacing w:line="360" w:lineRule="auto"/>
      <w:ind w:firstLine="480" w:firstLineChars="200"/>
    </w:pPr>
    <w:rPr>
      <w:sz w:val="24"/>
    </w:rPr>
  </w:style>
  <w:style w:type="character" w:customStyle="1" w:styleId="16">
    <w:name w:val="font21"/>
    <w:basedOn w:val="9"/>
    <w:qFormat/>
    <w:uiPriority w:val="0"/>
    <w:rPr>
      <w:rFonts w:hint="default" w:ascii="Times New Roman" w:hAnsi="Times New Roman" w:cs="Times New Roman"/>
      <w:b/>
      <w:color w:val="000000"/>
      <w:sz w:val="24"/>
      <w:szCs w:val="24"/>
      <w:u w:val="none"/>
      <w:vertAlign w:val="subscript"/>
    </w:rPr>
  </w:style>
  <w:style w:type="character" w:customStyle="1" w:styleId="17">
    <w:name w:val="font31"/>
    <w:basedOn w:val="9"/>
    <w:qFormat/>
    <w:uiPriority w:val="0"/>
    <w:rPr>
      <w:rFonts w:hint="default" w:ascii="Calibri" w:hAnsi="Calibri" w:cs="Calibri"/>
      <w:color w:val="000000"/>
      <w:sz w:val="21"/>
      <w:szCs w:val="21"/>
      <w:u w:val="none"/>
      <w:vertAlign w:val="subscript"/>
    </w:rPr>
  </w:style>
  <w:style w:type="character" w:customStyle="1" w:styleId="18">
    <w:name w:val="font61"/>
    <w:basedOn w:val="9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9">
    <w:name w:val="font41"/>
    <w:basedOn w:val="9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20">
    <w:name w:val="font51"/>
    <w:basedOn w:val="9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21">
    <w:name w:val="font81"/>
    <w:basedOn w:val="9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  <w:vertAlign w:val="superscript"/>
    </w:rPr>
  </w:style>
  <w:style w:type="character" w:customStyle="1" w:styleId="22">
    <w:name w:val="font7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  <w:style w:type="paragraph" w:styleId="23">
    <w:name w:val="List Paragraph"/>
    <w:basedOn w:val="1"/>
    <w:qFormat/>
    <w:uiPriority w:val="99"/>
    <w:pPr>
      <w:ind w:firstLine="420" w:firstLineChars="200"/>
    </w:pPr>
  </w:style>
  <w:style w:type="paragraph" w:customStyle="1" w:styleId="24">
    <w:name w:val="Table Paragraph"/>
    <w:basedOn w:val="1"/>
    <w:qFormat/>
    <w:uiPriority w:val="1"/>
    <w:pPr>
      <w:autoSpaceDE w:val="0"/>
      <w:autoSpaceDN w:val="0"/>
    </w:pPr>
    <w:rPr>
      <w:rFonts w:ascii="仿宋" w:hAnsi="仿宋" w:eastAsia="仿宋" w:cs="仿宋"/>
      <w:sz w:val="22"/>
      <w:szCs w:val="22"/>
      <w:lang w:val="zh-CN" w:bidi="zh-CN"/>
    </w:rPr>
  </w:style>
  <w:style w:type="paragraph" w:customStyle="1" w:styleId="25">
    <w:name w:val="List Paragraph1"/>
    <w:basedOn w:val="1"/>
    <w:qFormat/>
    <w:uiPriority w:val="0"/>
    <w:pPr>
      <w:widowControl/>
      <w:spacing w:line="240" w:lineRule="exact"/>
      <w:ind w:firstLine="420" w:firstLineChars="200"/>
      <w:jc w:val="left"/>
    </w:pPr>
    <w:rPr>
      <w:rFonts w:ascii="Calibri" w:hAnsi="Calibri" w:eastAsia="宋体" w:cs="Times New Roman"/>
      <w:szCs w:val="21"/>
    </w:rPr>
  </w:style>
  <w:style w:type="character" w:customStyle="1" w:styleId="26">
    <w:name w:val="15"/>
    <w:basedOn w:val="9"/>
    <w:qFormat/>
    <w:uiPriority w:val="0"/>
    <w:rPr>
      <w:rFonts w:hint="default" w:ascii="Times New Roman" w:hAnsi="Times New Roman" w:cs="Times New Roman"/>
      <w:color w:val="00000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676FA6-C56C-4B74-8EE2-C6ED1C8974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ZHHB</Company>
  <Pages>1</Pages>
  <Words>4055</Words>
  <Characters>23114</Characters>
  <Lines>192</Lines>
  <Paragraphs>54</Paragraphs>
  <TotalTime>10</TotalTime>
  <ScaleCrop>false</ScaleCrop>
  <LinksUpToDate>false</LinksUpToDate>
  <CharactersWithSpaces>27115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Administrator.PC-20171107GLCA</dc:creator>
  <cp:lastModifiedBy>Administrator</cp:lastModifiedBy>
  <cp:lastPrinted>2020-09-16T01:40:00Z</cp:lastPrinted>
  <dcterms:modified xsi:type="dcterms:W3CDTF">2020-10-22T07:37:28Z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